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39F" w:rsidRPr="00AE739F" w:rsidRDefault="00AE739F" w:rsidP="00AE739F">
      <w:pPr>
        <w:spacing w:after="0" w:line="240" w:lineRule="auto"/>
        <w:rPr>
          <w:rFonts w:ascii="Arial" w:eastAsia="Times New Roman" w:hAnsi="Arial" w:cs="Arial"/>
          <w:color w:val="000000"/>
          <w:sz w:val="20"/>
          <w:szCs w:val="20"/>
          <w:lang w:eastAsia="tr-TR"/>
        </w:rPr>
      </w:pPr>
      <w:bookmarkStart w:id="0" w:name="_GoBack"/>
      <w:r>
        <w:rPr>
          <w:rFonts w:ascii="Arial" w:eastAsia="Times New Roman" w:hAnsi="Arial" w:cs="Arial"/>
          <w:b/>
          <w:bCs/>
          <w:color w:val="000000"/>
          <w:sz w:val="24"/>
          <w:szCs w:val="24"/>
          <w:lang w:eastAsia="tr-TR"/>
        </w:rPr>
        <w:t>NCTS Faz 5 Geçiş Sürecinin 21 O</w:t>
      </w:r>
      <w:r w:rsidRPr="00AE739F">
        <w:rPr>
          <w:rFonts w:ascii="Arial" w:eastAsia="Times New Roman" w:hAnsi="Arial" w:cs="Arial"/>
          <w:b/>
          <w:bCs/>
          <w:color w:val="000000"/>
          <w:sz w:val="24"/>
          <w:szCs w:val="24"/>
          <w:lang w:eastAsia="tr-TR"/>
        </w:rPr>
        <w:t>cak 2025 Tarihinde Sona Ereceği</w:t>
      </w:r>
    </w:p>
    <w:bookmarkEnd w:id="0"/>
    <w:p w:rsidR="00AE739F" w:rsidRPr="00AE739F" w:rsidRDefault="00AE739F" w:rsidP="00AE739F">
      <w:pPr>
        <w:spacing w:after="0" w:line="240" w:lineRule="auto"/>
        <w:rPr>
          <w:rFonts w:ascii="Arial" w:eastAsia="Times New Roman" w:hAnsi="Arial" w:cs="Arial"/>
          <w:color w:val="000000"/>
          <w:sz w:val="20"/>
          <w:szCs w:val="20"/>
          <w:lang w:eastAsia="tr-TR"/>
        </w:rPr>
      </w:pPr>
      <w:r w:rsidRPr="00AE739F">
        <w:rPr>
          <w:rFonts w:ascii="Arial" w:eastAsia="Times New Roman" w:hAnsi="Arial" w:cs="Arial"/>
          <w:color w:val="000000"/>
          <w:sz w:val="20"/>
          <w:szCs w:val="20"/>
          <w:lang w:eastAsia="tr-TR"/>
        </w:rPr>
        <w:pict>
          <v:rect id="_x0000_i1025" style="width:0;height:.6pt" o:hralign="center" o:hrstd="t" o:hr="t" fillcolor="#a0a0a0" stroked="f"/>
        </w:pict>
      </w:r>
    </w:p>
    <w:p w:rsidR="00AE739F" w:rsidRPr="00AE739F" w:rsidRDefault="00AE739F" w:rsidP="00AE739F">
      <w:pPr>
        <w:spacing w:before="100" w:beforeAutospacing="1" w:after="0" w:line="240" w:lineRule="auto"/>
        <w:jc w:val="center"/>
        <w:rPr>
          <w:rFonts w:ascii="Arial" w:eastAsia="Times New Roman" w:hAnsi="Arial" w:cs="Arial"/>
          <w:color w:val="000000"/>
          <w:sz w:val="20"/>
          <w:szCs w:val="20"/>
          <w:lang w:eastAsia="tr-TR"/>
        </w:rPr>
      </w:pPr>
      <w:r w:rsidRPr="00AE739F">
        <w:rPr>
          <w:rFonts w:ascii="Arial" w:eastAsia="Times New Roman" w:hAnsi="Arial" w:cs="Arial"/>
          <w:b/>
          <w:bCs/>
          <w:color w:val="000000"/>
          <w:sz w:val="24"/>
          <w:szCs w:val="24"/>
          <w:lang w:eastAsia="tr-TR"/>
        </w:rPr>
        <w:t>T.C.</w:t>
      </w:r>
    </w:p>
    <w:p w:rsidR="00AE739F" w:rsidRPr="00AE739F" w:rsidRDefault="00AE739F" w:rsidP="00AE739F">
      <w:pPr>
        <w:spacing w:before="100" w:beforeAutospacing="1" w:after="0" w:line="240" w:lineRule="auto"/>
        <w:jc w:val="center"/>
        <w:rPr>
          <w:rFonts w:ascii="Arial" w:eastAsia="Times New Roman" w:hAnsi="Arial" w:cs="Arial"/>
          <w:color w:val="000000"/>
          <w:sz w:val="20"/>
          <w:szCs w:val="20"/>
          <w:lang w:eastAsia="tr-TR"/>
        </w:rPr>
      </w:pPr>
      <w:r w:rsidRPr="00AE739F">
        <w:rPr>
          <w:rFonts w:ascii="Arial" w:eastAsia="Times New Roman" w:hAnsi="Arial" w:cs="Arial"/>
          <w:b/>
          <w:bCs/>
          <w:color w:val="000000"/>
          <w:sz w:val="24"/>
          <w:szCs w:val="24"/>
          <w:lang w:eastAsia="tr-TR"/>
        </w:rPr>
        <w:t>TİCARET BAKANLIĞI</w:t>
      </w:r>
    </w:p>
    <w:p w:rsidR="00AE739F" w:rsidRPr="00AE739F" w:rsidRDefault="00AE739F" w:rsidP="00AE739F">
      <w:pPr>
        <w:spacing w:before="100" w:beforeAutospacing="1" w:after="0" w:line="240" w:lineRule="auto"/>
        <w:jc w:val="center"/>
        <w:rPr>
          <w:rFonts w:ascii="Arial" w:eastAsia="Times New Roman" w:hAnsi="Arial" w:cs="Arial"/>
          <w:color w:val="000000"/>
          <w:sz w:val="20"/>
          <w:szCs w:val="20"/>
          <w:lang w:eastAsia="tr-TR"/>
        </w:rPr>
      </w:pPr>
      <w:r w:rsidRPr="00AE739F">
        <w:rPr>
          <w:rFonts w:ascii="Arial" w:eastAsia="Times New Roman" w:hAnsi="Arial" w:cs="Arial"/>
          <w:b/>
          <w:bCs/>
          <w:color w:val="000000"/>
          <w:sz w:val="24"/>
          <w:szCs w:val="24"/>
          <w:lang w:eastAsia="tr-TR"/>
        </w:rPr>
        <w:t>Gümrükler Genel Müdürlüğü</w:t>
      </w:r>
    </w:p>
    <w:p w:rsidR="00AE739F" w:rsidRPr="00AE739F" w:rsidRDefault="00AE739F" w:rsidP="00AE739F">
      <w:pPr>
        <w:spacing w:before="100" w:beforeAutospacing="1" w:after="100" w:afterAutospacing="1" w:line="240" w:lineRule="auto"/>
        <w:jc w:val="both"/>
        <w:rPr>
          <w:rFonts w:ascii="Arial" w:eastAsia="Times New Roman" w:hAnsi="Arial" w:cs="Arial"/>
          <w:color w:val="000000"/>
          <w:sz w:val="20"/>
          <w:szCs w:val="20"/>
          <w:lang w:eastAsia="tr-TR"/>
        </w:rPr>
      </w:pPr>
      <w:r w:rsidRPr="00AE739F">
        <w:rPr>
          <w:rFonts w:ascii="Arial" w:eastAsia="Times New Roman" w:hAnsi="Arial" w:cs="Arial"/>
          <w:b/>
          <w:bCs/>
          <w:color w:val="000000"/>
          <w:sz w:val="24"/>
          <w:szCs w:val="24"/>
          <w:lang w:eastAsia="tr-TR"/>
        </w:rPr>
        <w:t>Sayı: E</w:t>
      </w:r>
      <w:r w:rsidRPr="00AE739F">
        <w:rPr>
          <w:rFonts w:ascii="Arial" w:eastAsia="Times New Roman" w:hAnsi="Arial" w:cs="Arial"/>
          <w:color w:val="000000"/>
          <w:sz w:val="24"/>
          <w:szCs w:val="24"/>
          <w:lang w:eastAsia="tr-TR"/>
        </w:rPr>
        <w:t>-96603261-102.03-00105098316</w:t>
      </w:r>
    </w:p>
    <w:p w:rsidR="00AE739F" w:rsidRPr="00AE739F" w:rsidRDefault="00AE739F" w:rsidP="00AE739F">
      <w:pPr>
        <w:spacing w:before="100" w:beforeAutospacing="1" w:after="100" w:afterAutospacing="1" w:line="240" w:lineRule="auto"/>
        <w:jc w:val="both"/>
        <w:rPr>
          <w:rFonts w:ascii="Arial" w:eastAsia="Times New Roman" w:hAnsi="Arial" w:cs="Arial"/>
          <w:color w:val="000000"/>
          <w:sz w:val="20"/>
          <w:szCs w:val="20"/>
          <w:lang w:eastAsia="tr-TR"/>
        </w:rPr>
      </w:pPr>
      <w:r w:rsidRPr="00AE739F">
        <w:rPr>
          <w:rFonts w:ascii="Arial" w:eastAsia="Times New Roman" w:hAnsi="Arial" w:cs="Arial"/>
          <w:b/>
          <w:bCs/>
          <w:color w:val="000000"/>
          <w:sz w:val="24"/>
          <w:szCs w:val="24"/>
          <w:lang w:eastAsia="tr-TR"/>
        </w:rPr>
        <w:t>Konu: NCTS</w:t>
      </w:r>
      <w:r w:rsidRPr="00AE739F">
        <w:rPr>
          <w:rFonts w:ascii="Arial" w:eastAsia="Times New Roman" w:hAnsi="Arial" w:cs="Arial"/>
          <w:color w:val="000000"/>
          <w:sz w:val="24"/>
          <w:szCs w:val="24"/>
          <w:lang w:eastAsia="tr-TR"/>
        </w:rPr>
        <w:t xml:space="preserve"> Faz 5 Geçiş Sürecinin Sona Ermesi</w:t>
      </w:r>
    </w:p>
    <w:p w:rsidR="00AE739F" w:rsidRPr="00AE739F" w:rsidRDefault="00AE739F" w:rsidP="00AE739F">
      <w:pPr>
        <w:spacing w:before="120" w:after="0" w:line="240" w:lineRule="auto"/>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w:t>
      </w:r>
    </w:p>
    <w:p w:rsidR="00AE739F" w:rsidRPr="00AE739F" w:rsidRDefault="00AE739F" w:rsidP="00AE739F">
      <w:pPr>
        <w:spacing w:before="120" w:after="0" w:line="240" w:lineRule="auto"/>
        <w:jc w:val="center"/>
        <w:rPr>
          <w:rFonts w:ascii="Arial" w:eastAsia="Times New Roman" w:hAnsi="Arial" w:cs="Arial"/>
          <w:color w:val="000000"/>
          <w:sz w:val="20"/>
          <w:szCs w:val="20"/>
          <w:lang w:eastAsia="tr-TR"/>
        </w:rPr>
      </w:pPr>
      <w:r w:rsidRPr="00AE739F">
        <w:rPr>
          <w:rFonts w:ascii="Arial" w:eastAsia="Times New Roman" w:hAnsi="Arial" w:cs="Arial"/>
          <w:b/>
          <w:bCs/>
          <w:color w:val="000000"/>
          <w:sz w:val="24"/>
          <w:szCs w:val="24"/>
          <w:lang w:eastAsia="tr-TR"/>
        </w:rPr>
        <w:t>14.01.2025 / 105098316</w:t>
      </w:r>
    </w:p>
    <w:p w:rsidR="00AE739F" w:rsidRPr="00AE739F" w:rsidRDefault="00AE739F" w:rsidP="00AE739F">
      <w:pPr>
        <w:spacing w:before="120" w:after="0" w:line="240" w:lineRule="auto"/>
        <w:jc w:val="center"/>
        <w:rPr>
          <w:rFonts w:ascii="Arial" w:eastAsia="Times New Roman" w:hAnsi="Arial" w:cs="Arial"/>
          <w:color w:val="000000"/>
          <w:sz w:val="20"/>
          <w:szCs w:val="20"/>
          <w:lang w:eastAsia="tr-TR"/>
        </w:rPr>
      </w:pPr>
      <w:r w:rsidRPr="00AE739F">
        <w:rPr>
          <w:rFonts w:ascii="Arial" w:eastAsia="Times New Roman" w:hAnsi="Arial" w:cs="Arial"/>
          <w:b/>
          <w:bCs/>
          <w:color w:val="000000"/>
          <w:sz w:val="24"/>
          <w:szCs w:val="24"/>
          <w:lang w:eastAsia="tr-TR"/>
        </w:rPr>
        <w:t>DAĞITIM YERLERİNE</w:t>
      </w:r>
    </w:p>
    <w:p w:rsidR="00AE739F" w:rsidRPr="00AE739F" w:rsidRDefault="00AE739F" w:rsidP="00AE739F">
      <w:pPr>
        <w:spacing w:before="120" w:after="0" w:line="240" w:lineRule="auto"/>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w:t>
      </w:r>
    </w:p>
    <w:p w:rsidR="00AE739F" w:rsidRPr="00AE739F" w:rsidRDefault="00AE739F" w:rsidP="00AE739F">
      <w:pPr>
        <w:spacing w:before="120" w:after="0" w:line="240" w:lineRule="auto"/>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w:t>
      </w:r>
    </w:p>
    <w:p w:rsidR="00AE739F" w:rsidRPr="00AE739F" w:rsidRDefault="00AE739F" w:rsidP="00AE739F">
      <w:pPr>
        <w:spacing w:before="120" w:after="0" w:line="240" w:lineRule="auto"/>
        <w:jc w:val="both"/>
        <w:rPr>
          <w:rFonts w:ascii="Arial" w:eastAsia="Times New Roman" w:hAnsi="Arial" w:cs="Arial"/>
          <w:color w:val="000000"/>
          <w:sz w:val="20"/>
          <w:szCs w:val="20"/>
          <w:lang w:eastAsia="tr-TR"/>
        </w:rPr>
      </w:pPr>
      <w:proofErr w:type="gramStart"/>
      <w:r w:rsidRPr="00AE739F">
        <w:rPr>
          <w:rFonts w:ascii="Arial" w:eastAsia="Times New Roman" w:hAnsi="Arial" w:cs="Arial"/>
          <w:b/>
          <w:bCs/>
          <w:color w:val="000000"/>
          <w:sz w:val="24"/>
          <w:szCs w:val="24"/>
          <w:lang w:eastAsia="tr-TR"/>
        </w:rPr>
        <w:t>İlgi      :</w:t>
      </w:r>
      <w:r w:rsidRPr="00AE739F">
        <w:rPr>
          <w:rFonts w:ascii="Arial" w:eastAsia="Times New Roman" w:hAnsi="Arial" w:cs="Arial"/>
          <w:color w:val="000000"/>
          <w:sz w:val="24"/>
          <w:szCs w:val="24"/>
          <w:lang w:eastAsia="tr-TR"/>
        </w:rPr>
        <w:t>a</w:t>
      </w:r>
      <w:proofErr w:type="gramEnd"/>
      <w:r w:rsidRPr="00AE739F">
        <w:rPr>
          <w:rFonts w:ascii="Arial" w:eastAsia="Times New Roman" w:hAnsi="Arial" w:cs="Arial"/>
          <w:color w:val="000000"/>
          <w:sz w:val="24"/>
          <w:szCs w:val="24"/>
          <w:lang w:eastAsia="tr-TR"/>
        </w:rPr>
        <w:t>) 07.01.2025 tarihli ve E-96603261-102.03-00104799429 sayılı yazı.</w:t>
      </w:r>
    </w:p>
    <w:p w:rsidR="00AE739F" w:rsidRPr="00AE739F" w:rsidRDefault="00AE739F" w:rsidP="00AE739F">
      <w:pPr>
        <w:spacing w:before="120" w:after="0" w:line="240" w:lineRule="auto"/>
        <w:ind w:firstLine="709"/>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b) 12.11.2024 tarihli ve E-96603261-102.03-00102834803 sayılı yazımız.</w:t>
      </w:r>
    </w:p>
    <w:p w:rsidR="00AE739F" w:rsidRPr="00AE739F" w:rsidRDefault="00AE739F" w:rsidP="00AE739F">
      <w:pPr>
        <w:spacing w:before="120" w:after="0" w:line="240" w:lineRule="auto"/>
        <w:ind w:firstLine="709"/>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e) 15.10.2024 tarihli ve E-96603261-102.03-00101879907 sayılı yazımız.</w:t>
      </w:r>
    </w:p>
    <w:p w:rsidR="00AE739F" w:rsidRPr="00AE739F" w:rsidRDefault="00AE739F" w:rsidP="00AE739F">
      <w:pPr>
        <w:spacing w:before="120" w:after="0" w:line="240" w:lineRule="auto"/>
        <w:ind w:firstLine="709"/>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Bilindiği üzere, ilgide kayıtlı yazılar konusu NCTS’nin (Yeni Bilgisayarlı Transit Sistemi) güncel sürümü olan Faz 5, ülkemizde 17.11.2024 tarihinde devreye alınmış ve Avrupa Komisyonunca belirlenen 21.01.2025 tarihi itibarıyla, NCTS Faz 5‘in bazı özelliklerinin askıya alındığı geçiş sürecinin sona ereceği ilgi (a)`da kayıtlı yazımız ile tarafınıza bildirilmişti.</w:t>
      </w:r>
    </w:p>
    <w:p w:rsidR="00AE739F" w:rsidRPr="00AE739F" w:rsidRDefault="00AE739F" w:rsidP="00AE739F">
      <w:pPr>
        <w:spacing w:before="120" w:after="0" w:line="240" w:lineRule="auto"/>
        <w:ind w:firstLine="709"/>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Bu kapsamda, Avrupa Birliği Nezdinde Türkiye Daimi Temsilciliğinden alınan yazıda, Avrupa Birliği Vergilendirme ve Gümrük Birliği Genel Müdürlüğü (DG TAXUD) tarafından yapılan duyurudan bahisle, hâlihazırda 29 ülkenin NCTS Faz 5 i uygulamaya koymuş olduğu ve sistemlerin sorunsuz çalıştığı belirtilmiştir. Bununla birlikte, 21.01.2025 tarihinde sona erecek geçiş sürecine ilişkin olarak Ekonomik Operatörlerin veri toplama ve gönderim süreçlerine ilişkin gerekli hazırlıkları yapmaları hususu hatırlatılmaktadır.</w:t>
      </w:r>
    </w:p>
    <w:p w:rsidR="00AE739F" w:rsidRPr="00AE739F" w:rsidRDefault="00AE739F" w:rsidP="00AE739F">
      <w:pPr>
        <w:spacing w:before="120" w:after="0" w:line="240" w:lineRule="auto"/>
        <w:ind w:firstLine="709"/>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Bu çerçevede, yaklaşan sürece ilişkin olarak üyelerinize gerekli duyuruların yapılması hususunda gereğini önemle rica ederim.</w:t>
      </w:r>
    </w:p>
    <w:p w:rsidR="00AE739F" w:rsidRPr="00AE739F" w:rsidRDefault="00AE739F" w:rsidP="00AE739F">
      <w:pPr>
        <w:spacing w:before="100" w:beforeAutospacing="1" w:after="0" w:line="240" w:lineRule="auto"/>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w:t>
      </w:r>
    </w:p>
    <w:p w:rsidR="00AE739F" w:rsidRPr="00AE739F" w:rsidRDefault="00AE739F" w:rsidP="00AE739F">
      <w:pPr>
        <w:spacing w:before="100" w:beforeAutospacing="1" w:after="0" w:line="240" w:lineRule="auto"/>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w:t>
      </w:r>
    </w:p>
    <w:p w:rsidR="00AE739F" w:rsidRPr="00AE739F" w:rsidRDefault="00AE739F" w:rsidP="00AE739F">
      <w:pPr>
        <w:spacing w:before="100" w:beforeAutospacing="1" w:after="0" w:line="240" w:lineRule="auto"/>
        <w:jc w:val="right"/>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Mustafa GÜMÜŞ</w:t>
      </w:r>
    </w:p>
    <w:p w:rsidR="00AE739F" w:rsidRPr="00AE739F" w:rsidRDefault="00AE739F" w:rsidP="00AE739F">
      <w:pPr>
        <w:spacing w:before="100" w:beforeAutospacing="1" w:after="0" w:line="240" w:lineRule="auto"/>
        <w:jc w:val="right"/>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Bakan a.</w:t>
      </w:r>
    </w:p>
    <w:p w:rsidR="00AE739F" w:rsidRPr="00AE739F" w:rsidRDefault="00AE739F" w:rsidP="00AE739F">
      <w:pPr>
        <w:spacing w:before="100" w:beforeAutospacing="1" w:after="0" w:line="240" w:lineRule="auto"/>
        <w:jc w:val="right"/>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Genel Müdür</w:t>
      </w:r>
    </w:p>
    <w:p w:rsidR="00AE739F" w:rsidRPr="00AE739F" w:rsidRDefault="00AE739F" w:rsidP="00AE739F">
      <w:pPr>
        <w:spacing w:before="100" w:beforeAutospacing="1" w:after="0" w:line="240" w:lineRule="auto"/>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lastRenderedPageBreak/>
        <w:t> </w:t>
      </w:r>
    </w:p>
    <w:p w:rsidR="00AE739F" w:rsidRPr="00AE739F" w:rsidRDefault="00AE739F" w:rsidP="00AE739F">
      <w:pPr>
        <w:spacing w:before="100" w:beforeAutospacing="1" w:after="0" w:line="240" w:lineRule="auto"/>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w:t>
      </w:r>
    </w:p>
    <w:p w:rsidR="00AE739F" w:rsidRPr="00AE739F" w:rsidRDefault="00AE739F" w:rsidP="00AE739F">
      <w:pPr>
        <w:spacing w:before="100" w:beforeAutospacing="1" w:after="0" w:line="240" w:lineRule="auto"/>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w:t>
      </w:r>
    </w:p>
    <w:p w:rsidR="00AE739F" w:rsidRPr="00AE739F" w:rsidRDefault="00AE739F" w:rsidP="00AE739F">
      <w:pPr>
        <w:spacing w:before="100" w:beforeAutospacing="1" w:after="0" w:line="240" w:lineRule="auto"/>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w:t>
      </w:r>
    </w:p>
    <w:p w:rsidR="00AE739F" w:rsidRPr="00AE739F" w:rsidRDefault="00AE739F" w:rsidP="00AE739F">
      <w:pPr>
        <w:spacing w:before="100" w:beforeAutospacing="1" w:after="0" w:line="240" w:lineRule="auto"/>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w:t>
      </w:r>
    </w:p>
    <w:p w:rsidR="00AE739F" w:rsidRPr="00AE739F" w:rsidRDefault="00AE739F" w:rsidP="00AE739F">
      <w:pPr>
        <w:spacing w:before="100" w:beforeAutospacing="1" w:after="0" w:line="240" w:lineRule="auto"/>
        <w:jc w:val="both"/>
        <w:rPr>
          <w:rFonts w:ascii="Arial" w:eastAsia="Times New Roman" w:hAnsi="Arial" w:cs="Arial"/>
          <w:color w:val="000000"/>
          <w:sz w:val="20"/>
          <w:szCs w:val="20"/>
          <w:lang w:eastAsia="tr-TR"/>
        </w:rPr>
      </w:pPr>
      <w:r w:rsidRPr="00AE739F">
        <w:rPr>
          <w:rFonts w:ascii="Arial" w:eastAsia="Times New Roman" w:hAnsi="Arial" w:cs="Arial"/>
          <w:b/>
          <w:bCs/>
          <w:color w:val="000000"/>
          <w:sz w:val="24"/>
          <w:szCs w:val="24"/>
          <w:lang w:eastAsia="tr-TR"/>
        </w:rPr>
        <w:t>Dağıtım:</w:t>
      </w:r>
    </w:p>
    <w:p w:rsidR="00AE739F" w:rsidRPr="00AE739F" w:rsidRDefault="00AE739F" w:rsidP="00AE739F">
      <w:pPr>
        <w:spacing w:before="100" w:beforeAutospacing="1" w:after="0" w:line="240" w:lineRule="auto"/>
        <w:jc w:val="both"/>
        <w:rPr>
          <w:rFonts w:ascii="Arial" w:eastAsia="Times New Roman" w:hAnsi="Arial" w:cs="Arial"/>
          <w:color w:val="000000"/>
          <w:sz w:val="20"/>
          <w:szCs w:val="20"/>
          <w:lang w:eastAsia="tr-TR"/>
        </w:rPr>
      </w:pPr>
      <w:r w:rsidRPr="00AE739F">
        <w:rPr>
          <w:rFonts w:ascii="Arial" w:eastAsia="Times New Roman" w:hAnsi="Arial" w:cs="Arial"/>
          <w:b/>
          <w:bCs/>
          <w:color w:val="000000"/>
          <w:sz w:val="24"/>
          <w:szCs w:val="24"/>
          <w:lang w:eastAsia="tr-TR"/>
        </w:rPr>
        <w:t>-</w:t>
      </w:r>
      <w:r w:rsidRPr="00AE739F">
        <w:rPr>
          <w:rFonts w:ascii="Arial" w:eastAsia="Times New Roman" w:hAnsi="Arial" w:cs="Arial"/>
          <w:color w:val="000000"/>
          <w:sz w:val="24"/>
          <w:szCs w:val="24"/>
          <w:lang w:eastAsia="tr-TR"/>
        </w:rPr>
        <w:t>Türkiye İhracatçılar Meclisi (TİM)</w:t>
      </w:r>
    </w:p>
    <w:p w:rsidR="00AE739F" w:rsidRPr="00AE739F" w:rsidRDefault="00AE739F" w:rsidP="00AE739F">
      <w:pPr>
        <w:spacing w:before="100" w:beforeAutospacing="1" w:after="0" w:line="240" w:lineRule="auto"/>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Türk Sanayicileri ve İş İnsanları Derneği (TÜSİAD)</w:t>
      </w:r>
    </w:p>
    <w:p w:rsidR="00AE739F" w:rsidRPr="00AE739F" w:rsidRDefault="00AE739F" w:rsidP="00AE739F">
      <w:pPr>
        <w:spacing w:before="100" w:beforeAutospacing="1" w:after="0" w:line="240" w:lineRule="auto"/>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Müstakil Sanayici ve İşadamları Derneği (MÜSÎAD)</w:t>
      </w:r>
    </w:p>
    <w:p w:rsidR="00AE739F" w:rsidRPr="00AE739F" w:rsidRDefault="00AE739F" w:rsidP="00AE739F">
      <w:pPr>
        <w:spacing w:before="100" w:beforeAutospacing="1" w:after="0" w:line="240" w:lineRule="auto"/>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Türkiye Odalar ve Borsalar Birliği (TOBB)</w:t>
      </w:r>
    </w:p>
    <w:p w:rsidR="00AE739F" w:rsidRPr="00AE739F" w:rsidRDefault="00AE739F" w:rsidP="00AE739F">
      <w:pPr>
        <w:spacing w:before="100" w:beforeAutospacing="1" w:after="0" w:line="240" w:lineRule="auto"/>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İMEAK Deniz Ticaret Odası</w:t>
      </w:r>
    </w:p>
    <w:p w:rsidR="00AE739F" w:rsidRPr="00AE739F" w:rsidRDefault="00AE739F" w:rsidP="00AE739F">
      <w:pPr>
        <w:spacing w:before="100" w:beforeAutospacing="1" w:after="0" w:line="240" w:lineRule="auto"/>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İzmir Deniz Nakliyecileri Derneği</w:t>
      </w:r>
    </w:p>
    <w:p w:rsidR="00AE739F" w:rsidRPr="00AE739F" w:rsidRDefault="00AE739F" w:rsidP="00AE739F">
      <w:pPr>
        <w:spacing w:before="100" w:beforeAutospacing="1" w:after="0" w:line="240" w:lineRule="auto"/>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Uluslararası Nakliyeciler Derneği (UND)</w:t>
      </w:r>
    </w:p>
    <w:p w:rsidR="00AE739F" w:rsidRPr="00AE739F" w:rsidRDefault="00AE739F" w:rsidP="00AE739F">
      <w:pPr>
        <w:spacing w:before="100" w:beforeAutospacing="1" w:after="0" w:line="240" w:lineRule="auto"/>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Uluslararası Taşımacılık ve Lojistik Hizmet Üretenleri Derneği (UTİKAD)</w:t>
      </w:r>
    </w:p>
    <w:p w:rsidR="00AE739F" w:rsidRPr="00AE739F" w:rsidRDefault="00AE739F" w:rsidP="00AE739F">
      <w:pPr>
        <w:spacing w:before="100" w:beforeAutospacing="1" w:after="0" w:line="240" w:lineRule="auto"/>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Uluslararası Karayolu İle Yük Taşımacılığı ve Acente Sahipleri Derneği (UKAT)</w:t>
      </w:r>
    </w:p>
    <w:p w:rsidR="00AE739F" w:rsidRPr="00AE739F" w:rsidRDefault="00AE739F" w:rsidP="00AE739F">
      <w:pPr>
        <w:spacing w:before="100" w:beforeAutospacing="1" w:after="0" w:line="240" w:lineRule="auto"/>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Ankara Gümrük Müşavirleri Derneği</w:t>
      </w:r>
    </w:p>
    <w:p w:rsidR="00AE739F" w:rsidRPr="00AE739F" w:rsidRDefault="00AE739F" w:rsidP="00AE739F">
      <w:pPr>
        <w:spacing w:before="100" w:beforeAutospacing="1" w:after="0" w:line="240" w:lineRule="auto"/>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İstanbul Gümrük Müşavirleri Derneği</w:t>
      </w:r>
    </w:p>
    <w:p w:rsidR="00AE739F" w:rsidRPr="00AE739F" w:rsidRDefault="00AE739F" w:rsidP="00AE739F">
      <w:pPr>
        <w:spacing w:before="100" w:beforeAutospacing="1" w:after="0" w:line="240" w:lineRule="auto"/>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İzmir Gümrük Müşavirleri Derneği</w:t>
      </w:r>
    </w:p>
    <w:p w:rsidR="00AE739F" w:rsidRPr="00AE739F" w:rsidRDefault="00AE739F" w:rsidP="00AE739F">
      <w:pPr>
        <w:spacing w:before="100" w:beforeAutospacing="1" w:after="0" w:line="240" w:lineRule="auto"/>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Mersin Gümrük Müşavirleri Derneği</w:t>
      </w:r>
    </w:p>
    <w:p w:rsidR="00AE739F" w:rsidRPr="00AE739F" w:rsidRDefault="00AE739F" w:rsidP="00AE739F">
      <w:pPr>
        <w:spacing w:before="100" w:beforeAutospacing="1" w:after="0" w:line="240" w:lineRule="auto"/>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Bursa Gümrük Müşavirleri Derneği</w:t>
      </w:r>
    </w:p>
    <w:p w:rsidR="00AE739F" w:rsidRPr="00AE739F" w:rsidRDefault="00AE739F" w:rsidP="00AE739F">
      <w:pPr>
        <w:spacing w:before="100" w:beforeAutospacing="1" w:after="0" w:line="240" w:lineRule="auto"/>
        <w:jc w:val="both"/>
        <w:rPr>
          <w:rFonts w:ascii="Arial" w:eastAsia="Times New Roman" w:hAnsi="Arial" w:cs="Arial"/>
          <w:color w:val="000000"/>
          <w:sz w:val="20"/>
          <w:szCs w:val="20"/>
          <w:lang w:eastAsia="tr-TR"/>
        </w:rPr>
      </w:pPr>
      <w:r w:rsidRPr="00AE739F">
        <w:rPr>
          <w:rFonts w:ascii="Arial" w:eastAsia="Times New Roman" w:hAnsi="Arial" w:cs="Arial"/>
          <w:color w:val="000000"/>
          <w:sz w:val="24"/>
          <w:szCs w:val="24"/>
          <w:lang w:eastAsia="tr-TR"/>
        </w:rPr>
        <w:t>- Vapur Donatanları ve Acenteleri Derneği</w:t>
      </w:r>
    </w:p>
    <w:p w:rsidR="005359FE" w:rsidRDefault="005359FE"/>
    <w:sectPr w:rsidR="0053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BE"/>
    <w:rsid w:val="005359FE"/>
    <w:rsid w:val="00AE739F"/>
    <w:rsid w:val="00ED66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393B"/>
  <w15:chartTrackingRefBased/>
  <w15:docId w15:val="{4CC02402-3435-4900-82A0-ADF80CEC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1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2025-01-15T15:49:00Z</dcterms:created>
  <dcterms:modified xsi:type="dcterms:W3CDTF">2025-01-15T15:49:00Z</dcterms:modified>
</cp:coreProperties>
</file>