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3B4" w:rsidRDefault="009A03B4">
      <w:pPr>
        <w:spacing w:after="235" w:line="1" w:lineRule="exact"/>
      </w:pPr>
    </w:p>
    <w:p w:rsidR="009A03B4" w:rsidRPr="006958C0" w:rsidRDefault="009A03B4">
      <w:pPr>
        <w:spacing w:line="1" w:lineRule="exact"/>
        <w:sectPr w:rsidR="009A03B4" w:rsidRPr="006958C0">
          <w:footerReference w:type="default" r:id="rId6"/>
          <w:pgSz w:w="11900" w:h="16840"/>
          <w:pgMar w:top="927" w:right="1209" w:bottom="526" w:left="1039" w:header="499" w:footer="3" w:gutter="0"/>
          <w:pgNumType w:start="1"/>
          <w:cols w:space="720"/>
          <w:noEndnote/>
          <w:docGrid w:linePitch="360"/>
        </w:sectPr>
      </w:pPr>
    </w:p>
    <w:p w:rsidR="009A03B4" w:rsidRPr="006958C0" w:rsidRDefault="009A03B4">
      <w:pPr>
        <w:spacing w:before="79" w:after="79" w:line="240" w:lineRule="exact"/>
      </w:pPr>
    </w:p>
    <w:p w:rsidR="009A03B4" w:rsidRPr="006958C0" w:rsidRDefault="009A03B4">
      <w:pPr>
        <w:spacing w:line="1" w:lineRule="exact"/>
        <w:sectPr w:rsidR="009A03B4" w:rsidRPr="006958C0">
          <w:type w:val="continuous"/>
          <w:pgSz w:w="11900" w:h="16840"/>
          <w:pgMar w:top="1808" w:right="0" w:bottom="719" w:left="0" w:header="0" w:footer="3" w:gutter="0"/>
          <w:cols w:space="720"/>
          <w:noEndnote/>
          <w:docGrid w:linePitch="360"/>
        </w:sectPr>
      </w:pPr>
    </w:p>
    <w:p w:rsidR="009A03B4" w:rsidRPr="006958C0" w:rsidRDefault="009A782A">
      <w:pPr>
        <w:pStyle w:val="Gvdemetni0"/>
        <w:spacing w:after="0" w:line="257" w:lineRule="auto"/>
        <w:ind w:left="2180" w:firstLine="0"/>
        <w:jc w:val="both"/>
        <w:rPr>
          <w:sz w:val="24"/>
          <w:szCs w:val="24"/>
        </w:rPr>
      </w:pPr>
      <w:r w:rsidRPr="006958C0">
        <w:rPr>
          <w:noProof/>
          <w:sz w:val="24"/>
          <w:szCs w:val="24"/>
        </w:rPr>
        <w:drawing>
          <wp:anchor distT="0" distB="0" distL="0" distR="0" simplePos="0" relativeHeight="125829378" behindDoc="0" locked="0" layoutInCell="1" allowOverlap="1">
            <wp:simplePos x="0" y="0"/>
            <wp:positionH relativeFrom="page">
              <wp:posOffset>1005840</wp:posOffset>
            </wp:positionH>
            <wp:positionV relativeFrom="paragraph">
              <wp:posOffset>38100</wp:posOffset>
            </wp:positionV>
            <wp:extent cx="647065" cy="708025"/>
            <wp:effectExtent l="0" t="0" r="0" b="0"/>
            <wp:wrapSquare wrapText="right"/>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off x="0" y="0"/>
                      <a:ext cx="647065" cy="708025"/>
                    </a:xfrm>
                    <a:prstGeom prst="rect">
                      <a:avLst/>
                    </a:prstGeom>
                  </pic:spPr>
                </pic:pic>
              </a:graphicData>
            </a:graphic>
          </wp:anchor>
        </w:drawing>
      </w:r>
      <w:r w:rsidRPr="006958C0">
        <w:rPr>
          <w:rStyle w:val="Gvdemetni"/>
          <w:sz w:val="24"/>
          <w:szCs w:val="24"/>
        </w:rPr>
        <w:t>Gelen Tarih Sayı: 23.08.2024 - 3135</w:t>
      </w:r>
    </w:p>
    <w:p w:rsidR="009A03B4" w:rsidRPr="006958C0" w:rsidRDefault="009A782A">
      <w:pPr>
        <w:pStyle w:val="Gvdemetni0"/>
        <w:tabs>
          <w:tab w:val="left" w:pos="2689"/>
        </w:tabs>
        <w:spacing w:after="160" w:line="257" w:lineRule="auto"/>
        <w:ind w:firstLine="0"/>
        <w:jc w:val="both"/>
        <w:rPr>
          <w:sz w:val="24"/>
          <w:szCs w:val="24"/>
        </w:rPr>
      </w:pPr>
      <w:r w:rsidRPr="006958C0">
        <w:rPr>
          <w:noProof/>
          <w:sz w:val="24"/>
          <w:szCs w:val="24"/>
        </w:rPr>
        <w:drawing>
          <wp:anchor distT="0" distB="0" distL="114300" distR="114300" simplePos="0" relativeHeight="125829379" behindDoc="0" locked="0" layoutInCell="1" allowOverlap="1">
            <wp:simplePos x="0" y="0"/>
            <wp:positionH relativeFrom="page">
              <wp:posOffset>5678170</wp:posOffset>
            </wp:positionH>
            <wp:positionV relativeFrom="paragraph">
              <wp:posOffset>139700</wp:posOffset>
            </wp:positionV>
            <wp:extent cx="1111250" cy="365760"/>
            <wp:effectExtent l="0" t="0" r="0" b="0"/>
            <wp:wrapSquare wrapText="bothSides"/>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8"/>
                    <a:stretch/>
                  </pic:blipFill>
                  <pic:spPr>
                    <a:xfrm>
                      <a:off x="0" y="0"/>
                      <a:ext cx="1111250" cy="365760"/>
                    </a:xfrm>
                    <a:prstGeom prst="rect">
                      <a:avLst/>
                    </a:prstGeom>
                  </pic:spPr>
                </pic:pic>
              </a:graphicData>
            </a:graphic>
          </wp:anchor>
        </w:drawing>
      </w:r>
      <w:r w:rsidRPr="006958C0">
        <w:rPr>
          <w:rStyle w:val="Gvdemetni"/>
          <w:color w:val="3E3E3E"/>
          <w:sz w:val="24"/>
          <w:szCs w:val="24"/>
        </w:rPr>
        <w:t>\</w:t>
      </w:r>
      <w:r w:rsidRPr="006958C0">
        <w:rPr>
          <w:rStyle w:val="Gvdemetni"/>
          <w:color w:val="3E3E3E"/>
          <w:sz w:val="24"/>
          <w:szCs w:val="24"/>
        </w:rPr>
        <w:tab/>
      </w:r>
      <w:r w:rsidRPr="006958C0">
        <w:rPr>
          <w:rStyle w:val="Gvdemetni"/>
          <w:color w:val="F50507"/>
          <w:sz w:val="24"/>
          <w:szCs w:val="24"/>
        </w:rPr>
        <w:t>HİZMETE ÖZEL</w:t>
      </w:r>
    </w:p>
    <w:p w:rsidR="009A03B4" w:rsidRPr="006958C0" w:rsidRDefault="009A782A">
      <w:pPr>
        <w:pStyle w:val="Balk10"/>
        <w:keepNext/>
        <w:keepLines/>
        <w:jc w:val="both"/>
      </w:pPr>
      <w:bookmarkStart w:id="0" w:name="bookmark0"/>
      <w:r w:rsidRPr="006958C0">
        <w:rPr>
          <w:rStyle w:val="Balk1"/>
          <w:b/>
          <w:bCs/>
        </w:rPr>
        <w:t xml:space="preserve">/ TÜRKİYE ODALAR VE </w:t>
      </w:r>
      <w:r w:rsidRPr="006958C0">
        <w:rPr>
          <w:rStyle w:val="Balk1"/>
          <w:b/>
          <w:bCs/>
        </w:rPr>
        <w:t>BORSALAR BİRLİĞİ</w:t>
      </w:r>
      <w:bookmarkEnd w:id="0"/>
    </w:p>
    <w:p w:rsidR="009A03B4" w:rsidRPr="006958C0" w:rsidRDefault="009A782A">
      <w:pPr>
        <w:pStyle w:val="Gvdemetni40"/>
        <w:spacing w:after="0"/>
        <w:ind w:left="1040"/>
        <w:jc w:val="both"/>
        <w:rPr>
          <w:sz w:val="24"/>
          <w:szCs w:val="24"/>
        </w:rPr>
      </w:pPr>
      <w:r w:rsidRPr="006958C0">
        <w:rPr>
          <w:rStyle w:val="Gvdemetni4"/>
          <w:b/>
          <w:bCs/>
          <w:color w:val="252525"/>
          <w:sz w:val="24"/>
          <w:szCs w:val="24"/>
          <w:lang w:val="tr-TR" w:eastAsia="tr-TR"/>
        </w:rPr>
        <w:t>TOBB</w:t>
      </w:r>
    </w:p>
    <w:p w:rsidR="009A03B4" w:rsidRPr="006958C0" w:rsidRDefault="009A782A">
      <w:pPr>
        <w:pStyle w:val="Gvdemetni20"/>
        <w:jc w:val="both"/>
        <w:rPr>
          <w:sz w:val="24"/>
          <w:szCs w:val="24"/>
        </w:rPr>
      </w:pPr>
      <w:r w:rsidRPr="006958C0">
        <w:rPr>
          <w:rStyle w:val="Gvdemetni2"/>
          <w:b/>
          <w:bCs/>
          <w:sz w:val="24"/>
          <w:szCs w:val="24"/>
          <w:u w:val="single"/>
        </w:rPr>
        <w:t>Dumlupınar Bulvarı No:252 (Eskişehir Yolu 9. Km.) 06530 /ANKARA</w:t>
      </w:r>
      <w:r w:rsidRPr="006958C0">
        <w:rPr>
          <w:rStyle w:val="Gvdemetni2"/>
          <w:b/>
          <w:bCs/>
          <w:color w:val="3E3E3E"/>
          <w:sz w:val="24"/>
          <w:szCs w:val="24"/>
        </w:rPr>
        <w:t xml:space="preserve"> </w:t>
      </w:r>
      <w:r w:rsidRPr="006958C0">
        <w:rPr>
          <w:rStyle w:val="Gvdemetni2"/>
          <w:b/>
          <w:bCs/>
          <w:sz w:val="24"/>
          <w:szCs w:val="24"/>
          <w:u w:val="single"/>
          <w:lang w:val="en-US" w:eastAsia="en-US"/>
        </w:rPr>
        <w:t xml:space="preserve">www.tobb.org.tr </w:t>
      </w:r>
      <w:r w:rsidRPr="006958C0">
        <w:rPr>
          <w:rStyle w:val="Gvdemetni2"/>
          <w:b/>
          <w:bCs/>
          <w:sz w:val="24"/>
          <w:szCs w:val="24"/>
          <w:u w:val="single"/>
        </w:rPr>
        <w:t xml:space="preserve">- </w:t>
      </w:r>
      <w:hyperlink r:id="rId9" w:history="1">
        <w:r w:rsidRPr="006958C0">
          <w:rPr>
            <w:rStyle w:val="Gvdemetni2"/>
            <w:b/>
            <w:bCs/>
            <w:sz w:val="24"/>
            <w:szCs w:val="24"/>
            <w:u w:val="single"/>
            <w:lang w:val="en-US" w:eastAsia="en-US"/>
          </w:rPr>
          <w:t>tobb@hs01.kep.tr</w:t>
        </w:r>
      </w:hyperlink>
    </w:p>
    <w:p w:rsidR="009A03B4" w:rsidRPr="006958C0" w:rsidRDefault="006958C0">
      <w:pPr>
        <w:pStyle w:val="Gvdemetni0"/>
        <w:tabs>
          <w:tab w:val="left" w:pos="7118"/>
          <w:tab w:val="left" w:pos="8356"/>
        </w:tabs>
        <w:spacing w:after="0"/>
        <w:ind w:firstLine="500"/>
        <w:jc w:val="both"/>
        <w:rPr>
          <w:sz w:val="24"/>
          <w:szCs w:val="24"/>
        </w:rPr>
      </w:pPr>
      <w:r w:rsidRPr="006958C0">
        <w:rPr>
          <w:rStyle w:val="Gvdemetni"/>
          <w:b/>
          <w:bCs/>
          <w:color w:val="252525"/>
          <w:sz w:val="24"/>
          <w:szCs w:val="24"/>
        </w:rPr>
        <w:t>Sayı: E</w:t>
      </w:r>
      <w:r w:rsidR="009A782A" w:rsidRPr="006958C0">
        <w:rPr>
          <w:rStyle w:val="Gvdemetni"/>
          <w:sz w:val="24"/>
          <w:szCs w:val="24"/>
        </w:rPr>
        <w:t>-34221550-101.99-8635</w:t>
      </w:r>
      <w:r w:rsidR="009A782A" w:rsidRPr="006958C0">
        <w:rPr>
          <w:rStyle w:val="Gvdemetni"/>
          <w:sz w:val="24"/>
          <w:szCs w:val="24"/>
        </w:rPr>
        <w:tab/>
      </w:r>
      <w:r w:rsidR="009A782A" w:rsidRPr="006958C0">
        <w:rPr>
          <w:rStyle w:val="Gvdemetni"/>
          <w:b/>
          <w:bCs/>
          <w:color w:val="252525"/>
          <w:sz w:val="24"/>
          <w:szCs w:val="24"/>
        </w:rPr>
        <w:t>Tarih:</w:t>
      </w:r>
      <w:r w:rsidR="009A782A" w:rsidRPr="006958C0">
        <w:rPr>
          <w:rStyle w:val="Gvdemetni"/>
          <w:b/>
          <w:bCs/>
          <w:color w:val="252525"/>
          <w:sz w:val="24"/>
          <w:szCs w:val="24"/>
        </w:rPr>
        <w:tab/>
      </w:r>
      <w:r w:rsidR="009A782A" w:rsidRPr="006958C0">
        <w:rPr>
          <w:rStyle w:val="Gvdemetni"/>
          <w:sz w:val="24"/>
          <w:szCs w:val="24"/>
        </w:rPr>
        <w:t>23.08.2024</w:t>
      </w:r>
    </w:p>
    <w:p w:rsidR="009A03B4" w:rsidRPr="006958C0" w:rsidRDefault="006958C0">
      <w:pPr>
        <w:pStyle w:val="Gvdemetni0"/>
        <w:spacing w:after="160"/>
        <w:ind w:firstLine="500"/>
        <w:jc w:val="both"/>
        <w:rPr>
          <w:sz w:val="24"/>
          <w:szCs w:val="24"/>
        </w:rPr>
      </w:pPr>
      <w:r w:rsidRPr="006958C0">
        <w:rPr>
          <w:rStyle w:val="Gvdemetni"/>
          <w:b/>
          <w:bCs/>
          <w:color w:val="252525"/>
          <w:sz w:val="24"/>
          <w:szCs w:val="24"/>
        </w:rPr>
        <w:t>Konu: Menşe</w:t>
      </w:r>
      <w:r w:rsidR="009A782A" w:rsidRPr="006958C0">
        <w:rPr>
          <w:rStyle w:val="Gvdemetni"/>
          <w:sz w:val="24"/>
          <w:szCs w:val="24"/>
        </w:rPr>
        <w:t xml:space="preserve"> Belgelerinde Tevsik Edici Unsurlar</w:t>
      </w:r>
    </w:p>
    <w:p w:rsidR="009A03B4" w:rsidRPr="006958C0" w:rsidRDefault="009A782A">
      <w:pPr>
        <w:pStyle w:val="Gvdemetni0"/>
        <w:spacing w:after="0"/>
        <w:ind w:firstLine="0"/>
        <w:jc w:val="center"/>
        <w:rPr>
          <w:sz w:val="24"/>
          <w:szCs w:val="24"/>
        </w:rPr>
      </w:pPr>
      <w:r w:rsidRPr="006958C0">
        <w:rPr>
          <w:rStyle w:val="Gvdemetni"/>
          <w:b/>
          <w:bCs/>
          <w:color w:val="252525"/>
          <w:sz w:val="24"/>
          <w:szCs w:val="24"/>
        </w:rPr>
        <w:t>TÜM ODALAR</w:t>
      </w:r>
    </w:p>
    <w:p w:rsidR="009A03B4" w:rsidRPr="006958C0" w:rsidRDefault="009A782A">
      <w:pPr>
        <w:pStyle w:val="Gvdemetni0"/>
        <w:spacing w:after="300"/>
        <w:ind w:firstLine="0"/>
        <w:jc w:val="center"/>
        <w:rPr>
          <w:sz w:val="24"/>
          <w:szCs w:val="24"/>
        </w:rPr>
      </w:pPr>
      <w:r w:rsidRPr="006958C0">
        <w:rPr>
          <w:rStyle w:val="Gvdemetni"/>
          <w:b/>
          <w:bCs/>
          <w:color w:val="252525"/>
          <w:sz w:val="24"/>
          <w:szCs w:val="24"/>
        </w:rPr>
        <w:t>(Genel Sekreterlik)</w:t>
      </w:r>
    </w:p>
    <w:p w:rsidR="009A03B4" w:rsidRPr="006958C0" w:rsidRDefault="009A782A">
      <w:pPr>
        <w:pStyle w:val="Gvdemetni0"/>
        <w:spacing w:line="259" w:lineRule="auto"/>
        <w:ind w:left="500"/>
        <w:jc w:val="both"/>
        <w:rPr>
          <w:sz w:val="24"/>
          <w:szCs w:val="24"/>
        </w:rPr>
      </w:pPr>
      <w:r w:rsidRPr="006958C0">
        <w:rPr>
          <w:rStyle w:val="Gvdemetni"/>
          <w:sz w:val="24"/>
          <w:szCs w:val="24"/>
        </w:rPr>
        <w:t xml:space="preserve">Birliğimiz tarafından basımı yapılıp, Odalarımıza dağıtımı gerçekleştirilen </w:t>
      </w:r>
      <w:r w:rsidRPr="006958C0">
        <w:rPr>
          <w:rStyle w:val="Gvdemetni"/>
          <w:b/>
          <w:sz w:val="24"/>
          <w:szCs w:val="24"/>
        </w:rPr>
        <w:t>dolaşım ve menşe belgeleri,</w:t>
      </w:r>
      <w:r w:rsidRPr="006958C0">
        <w:rPr>
          <w:rStyle w:val="Gvdemetni"/>
          <w:sz w:val="24"/>
          <w:szCs w:val="24"/>
        </w:rPr>
        <w:t xml:space="preserve"> ihracata konu olan eşyanın tercihli veya tercihsiz tarife kurallarından hangisine tabi olduğunu gösteren, uluslararası ve</w:t>
      </w:r>
      <w:r w:rsidRPr="006958C0">
        <w:rPr>
          <w:rStyle w:val="Gvdemetni"/>
          <w:sz w:val="24"/>
          <w:szCs w:val="24"/>
        </w:rPr>
        <w:t xml:space="preserve"> ulusal mevzuata uygun olarak düzenlenen resmi evraktır. Bu kapsamda, </w:t>
      </w:r>
      <w:r w:rsidRPr="006958C0">
        <w:rPr>
          <w:rStyle w:val="Gvdemetni"/>
          <w:b/>
          <w:sz w:val="24"/>
          <w:szCs w:val="24"/>
        </w:rPr>
        <w:t>belgelerin dış ticarette kullanılan kıymetli evrak niteliğinde olması nedeniyle,</w:t>
      </w:r>
      <w:r w:rsidRPr="006958C0">
        <w:rPr>
          <w:rStyle w:val="Gvdemetni"/>
          <w:sz w:val="24"/>
          <w:szCs w:val="24"/>
        </w:rPr>
        <w:t xml:space="preserve"> onaya sunulan belgelerin tetkikinin ilgili mevzuata göre titizlikle yapılması gerekmektedir.</w:t>
      </w:r>
    </w:p>
    <w:p w:rsidR="009A03B4" w:rsidRPr="006958C0" w:rsidRDefault="009A782A">
      <w:pPr>
        <w:pStyle w:val="Gvdemetni0"/>
        <w:spacing w:line="257" w:lineRule="auto"/>
        <w:ind w:left="500"/>
        <w:jc w:val="both"/>
        <w:rPr>
          <w:sz w:val="24"/>
          <w:szCs w:val="24"/>
        </w:rPr>
      </w:pPr>
      <w:r w:rsidRPr="006958C0">
        <w:rPr>
          <w:rStyle w:val="Gvdemetni"/>
          <w:sz w:val="24"/>
          <w:szCs w:val="24"/>
        </w:rPr>
        <w:t>Mer'i mevzua</w:t>
      </w:r>
      <w:r w:rsidRPr="006958C0">
        <w:rPr>
          <w:rStyle w:val="Gvdemetni"/>
          <w:sz w:val="24"/>
          <w:szCs w:val="24"/>
        </w:rPr>
        <w:t>t gereği menşe ve dolaşım belgelerinin satış ve onay işlemleri ile yetkilendirilen Odalarımız, başta Gümrük Kanunu ve Gümrük Yönetmeliği'nin ilgili maddelerindeki hükümleri dikkate alarak, kendilerine ibraz edilen menşe ve dolaşım belgelerinin düzenlenmesi</w:t>
      </w:r>
      <w:r w:rsidRPr="006958C0">
        <w:rPr>
          <w:rStyle w:val="Gvdemetni"/>
          <w:sz w:val="24"/>
          <w:szCs w:val="24"/>
        </w:rPr>
        <w:t xml:space="preserve">ne esas teşkil eden </w:t>
      </w:r>
      <w:r w:rsidRPr="006958C0">
        <w:rPr>
          <w:rStyle w:val="Gvdemetni"/>
          <w:sz w:val="24"/>
          <w:szCs w:val="24"/>
          <w:u w:val="single"/>
        </w:rPr>
        <w:t>tevsik edici belgelerin mevzuata uygun olarak kontrolünden sorumludur.</w:t>
      </w:r>
    </w:p>
    <w:p w:rsidR="009A03B4" w:rsidRPr="006958C0" w:rsidRDefault="009A782A">
      <w:pPr>
        <w:pStyle w:val="Gvdemetni0"/>
        <w:spacing w:line="259" w:lineRule="auto"/>
        <w:ind w:left="500"/>
        <w:jc w:val="both"/>
        <w:rPr>
          <w:b/>
          <w:sz w:val="24"/>
          <w:szCs w:val="24"/>
        </w:rPr>
      </w:pPr>
      <w:r w:rsidRPr="006958C0">
        <w:rPr>
          <w:rStyle w:val="Gvdemetni"/>
          <w:b/>
          <w:sz w:val="24"/>
          <w:szCs w:val="24"/>
        </w:rPr>
        <w:t>Bu çerçevede, menşe ve dolaşım belgelerinin düzenlenmesi için başvuruda bulunan ihracatçı veya ihracatçının gümrük beyannamesini imzalamakla yetkili kanuni temsilcis</w:t>
      </w:r>
      <w:r w:rsidRPr="006958C0">
        <w:rPr>
          <w:rStyle w:val="Gvdemetni"/>
          <w:b/>
          <w:sz w:val="24"/>
          <w:szCs w:val="24"/>
        </w:rPr>
        <w:t xml:space="preserve">i; eşyanın menşe statüsünü veya ilgili mevzuatın diğer hükümlerinin yerine getirilmiş olduğunu </w:t>
      </w:r>
      <w:r w:rsidRPr="006958C0">
        <w:rPr>
          <w:rStyle w:val="Gvdemetni"/>
          <w:b/>
          <w:sz w:val="24"/>
          <w:szCs w:val="24"/>
          <w:u w:val="single"/>
        </w:rPr>
        <w:t>tevsik eden bilgi ve belgeleri, onay mercii olan Odalarımıza ibraz etmekle sorumludur.</w:t>
      </w:r>
    </w:p>
    <w:p w:rsidR="009A03B4" w:rsidRPr="006958C0" w:rsidRDefault="009A782A">
      <w:pPr>
        <w:pStyle w:val="Gvdemetni0"/>
        <w:spacing w:line="257" w:lineRule="auto"/>
        <w:ind w:left="500"/>
        <w:jc w:val="both"/>
        <w:rPr>
          <w:sz w:val="24"/>
          <w:szCs w:val="24"/>
        </w:rPr>
      </w:pPr>
      <w:r w:rsidRPr="006958C0">
        <w:rPr>
          <w:rStyle w:val="Gvdemetni"/>
          <w:sz w:val="24"/>
          <w:szCs w:val="24"/>
        </w:rPr>
        <w:t xml:space="preserve">Odalarımız tarafından ticarete konu olan </w:t>
      </w:r>
      <w:r w:rsidRPr="006958C0">
        <w:rPr>
          <w:rStyle w:val="Gvdemetni"/>
          <w:sz w:val="24"/>
          <w:szCs w:val="24"/>
          <w:u w:val="single"/>
        </w:rPr>
        <w:t>eşyanın menşeine dair kesin bir k</w:t>
      </w:r>
      <w:r w:rsidRPr="006958C0">
        <w:rPr>
          <w:rStyle w:val="Gvdemetni"/>
          <w:sz w:val="24"/>
          <w:szCs w:val="24"/>
          <w:u w:val="single"/>
        </w:rPr>
        <w:t xml:space="preserve">anıya varılmasını sağlayacak </w:t>
      </w:r>
      <w:r w:rsidRPr="006958C0">
        <w:rPr>
          <w:rStyle w:val="Gvdemetni"/>
          <w:sz w:val="24"/>
          <w:szCs w:val="24"/>
        </w:rPr>
        <w:t>incelemelerin, tevsik edici evrak üzerinde yapılması ve ibraz edilen bilgi ve belgelerin eşyanın menşeini tasdik eder nitelikte olmasının teyidi ve menşe ve dolaşım belgelerinin mevzuata uygun olarak doldurulup doldurulmadığını</w:t>
      </w:r>
      <w:r w:rsidRPr="006958C0">
        <w:rPr>
          <w:rStyle w:val="Gvdemetni"/>
          <w:sz w:val="24"/>
          <w:szCs w:val="24"/>
        </w:rPr>
        <w:t xml:space="preserve">n tespitinin akabinde, </w:t>
      </w:r>
      <w:r w:rsidRPr="006958C0">
        <w:rPr>
          <w:rStyle w:val="Gvdemetni"/>
          <w:b/>
          <w:sz w:val="24"/>
          <w:szCs w:val="24"/>
        </w:rPr>
        <w:t>belgelerin onay işleminin tamamlanabileceği de bilinmektedir.</w:t>
      </w:r>
    </w:p>
    <w:p w:rsidR="009A03B4" w:rsidRPr="006958C0" w:rsidRDefault="009A782A">
      <w:pPr>
        <w:pStyle w:val="Gvdemetni0"/>
        <w:spacing w:line="259" w:lineRule="auto"/>
        <w:ind w:left="500"/>
        <w:jc w:val="both"/>
        <w:rPr>
          <w:b/>
          <w:sz w:val="24"/>
          <w:szCs w:val="24"/>
        </w:rPr>
      </w:pPr>
      <w:r w:rsidRPr="006958C0">
        <w:rPr>
          <w:rStyle w:val="Gvdemetni"/>
          <w:sz w:val="24"/>
          <w:szCs w:val="24"/>
        </w:rPr>
        <w:t xml:space="preserve">İthalatçı ülke gümrük idarelerince mezkur belgeler sonradan kontrol işlemine tabi tutulabilmektedir. Sonradan kontrol prosedürünün neticesinde, Odalarımızın hukuki olarak </w:t>
      </w:r>
      <w:r w:rsidRPr="006958C0">
        <w:rPr>
          <w:rStyle w:val="Gvdemetni"/>
          <w:sz w:val="24"/>
          <w:szCs w:val="24"/>
        </w:rPr>
        <w:t xml:space="preserve">menfi bir sonuç veya yaptırım ile karşılaşmamasını teminen, bahse konu kesin kanıya varılmasına </w:t>
      </w:r>
      <w:r w:rsidRPr="006958C0">
        <w:rPr>
          <w:rStyle w:val="Gvdemetni"/>
          <w:sz w:val="24"/>
          <w:szCs w:val="24"/>
          <w:u w:val="single"/>
        </w:rPr>
        <w:t>esas teşkil edecek ilgili tüm bilgi ve belgelerin tevsik edici evrak olarak firmalardan talep edilmesi elzemdir</w:t>
      </w:r>
      <w:r w:rsidRPr="006958C0">
        <w:rPr>
          <w:rStyle w:val="Gvdemetni"/>
          <w:b/>
          <w:sz w:val="24"/>
          <w:szCs w:val="24"/>
          <w:u w:val="single"/>
        </w:rPr>
        <w:t xml:space="preserve">. </w:t>
      </w:r>
      <w:r w:rsidRPr="006958C0">
        <w:rPr>
          <w:rStyle w:val="Gvdemetni"/>
          <w:b/>
          <w:sz w:val="24"/>
          <w:szCs w:val="24"/>
        </w:rPr>
        <w:t>Bu usul, Odalarımızın mühürleri tatbik edilerek</w:t>
      </w:r>
      <w:r w:rsidRPr="006958C0">
        <w:rPr>
          <w:rStyle w:val="Gvdemetni"/>
          <w:b/>
          <w:sz w:val="24"/>
          <w:szCs w:val="24"/>
        </w:rPr>
        <w:t xml:space="preserve"> onaylanan ve Gümrük İdarelerinin vize işlemine tabi tutulmayan Menşe Şahadetnameleri için ayrı bir öneme sahiptir.</w:t>
      </w:r>
    </w:p>
    <w:p w:rsidR="009A03B4" w:rsidRPr="006958C0" w:rsidRDefault="009A782A">
      <w:pPr>
        <w:pStyle w:val="Gvdemetni0"/>
        <w:spacing w:line="257" w:lineRule="auto"/>
        <w:ind w:left="500"/>
        <w:jc w:val="both"/>
        <w:rPr>
          <w:b/>
          <w:sz w:val="24"/>
          <w:szCs w:val="24"/>
        </w:rPr>
      </w:pPr>
      <w:r w:rsidRPr="006958C0">
        <w:rPr>
          <w:rStyle w:val="Gvdemetni"/>
          <w:b/>
          <w:sz w:val="24"/>
          <w:szCs w:val="24"/>
        </w:rPr>
        <w:t>Özetle, Odalarımız kendilerine ibraz edilen ve menşe ve dolaşım belgelerinin düzenlenmesine esas teşkil eden belgelerin ilgili mevzuata uygu</w:t>
      </w:r>
      <w:r w:rsidRPr="006958C0">
        <w:rPr>
          <w:rStyle w:val="Gvdemetni"/>
          <w:b/>
          <w:sz w:val="24"/>
          <w:szCs w:val="24"/>
        </w:rPr>
        <w:t>n olarak kontrolünden ve kendilerinin hazırladıkları belgelerin doğruluğundan sorumludur.</w:t>
      </w:r>
    </w:p>
    <w:p w:rsidR="009A03B4" w:rsidRPr="006958C0" w:rsidRDefault="009A782A">
      <w:pPr>
        <w:pStyle w:val="Gvdemetni0"/>
        <w:spacing w:line="257" w:lineRule="auto"/>
        <w:ind w:left="500"/>
        <w:jc w:val="both"/>
        <w:rPr>
          <w:sz w:val="24"/>
          <w:szCs w:val="24"/>
        </w:rPr>
      </w:pPr>
      <w:r w:rsidRPr="006958C0">
        <w:rPr>
          <w:rStyle w:val="Gvdemetni"/>
          <w:sz w:val="24"/>
          <w:szCs w:val="24"/>
        </w:rPr>
        <w:t xml:space="preserve">Birliğimizce, menşe ve dolaşım belgelerinin satış ve onay işlemleri ile ilgili başta 2024 yılı içinde düzenlenen Sonradan Kontrol ve Menşe Kuralları Eğitimleri olmak </w:t>
      </w:r>
      <w:r w:rsidRPr="006958C0">
        <w:rPr>
          <w:rStyle w:val="Gvdemetni"/>
          <w:sz w:val="24"/>
          <w:szCs w:val="24"/>
        </w:rPr>
        <w:t>üzere, Ticaret Bakanlığı ile işbirliği halinde konuya ilişkin muhtelif tarihlerde düzenlenen tüm eğitimlerde, bahse konu prosedüre azami ölçüde dikkat edilmesi defaatle vurgulanmıştır.</w:t>
      </w:r>
    </w:p>
    <w:p w:rsidR="009A03B4" w:rsidRPr="006958C0" w:rsidRDefault="009A782A">
      <w:pPr>
        <w:pStyle w:val="Gvdemetni0"/>
        <w:spacing w:after="660" w:line="257" w:lineRule="auto"/>
        <w:ind w:left="500"/>
        <w:jc w:val="both"/>
        <w:rPr>
          <w:sz w:val="24"/>
          <w:szCs w:val="24"/>
        </w:rPr>
      </w:pPr>
      <w:r w:rsidRPr="006958C0">
        <w:rPr>
          <w:rStyle w:val="Gvdemetni"/>
          <w:sz w:val="24"/>
          <w:szCs w:val="24"/>
        </w:rPr>
        <w:t xml:space="preserve">Bunlara ilaveten, menşe ve dolaşım belgelerinin düzenlenmesi, satış ve </w:t>
      </w:r>
      <w:r w:rsidRPr="006958C0">
        <w:rPr>
          <w:rStyle w:val="Gvdemetni"/>
          <w:sz w:val="24"/>
          <w:szCs w:val="24"/>
        </w:rPr>
        <w:t>onay işlemlerindeki uygulamalara dair Odalarımızın görüş talepleri, gerek görülmesi halinde Birliğimiz tarafından Ticaret Bakanlığına iletilmektedir. Belge düzenlenen eşyanın menşeine ilişkin tevsik edici bilgiler ile eşyanın faturasında bulunması gereken</w:t>
      </w:r>
    </w:p>
    <w:p w:rsidR="009A03B4" w:rsidRPr="006958C0" w:rsidRDefault="009A782A">
      <w:pPr>
        <w:pStyle w:val="Gvdemetni20"/>
        <w:jc w:val="both"/>
        <w:rPr>
          <w:sz w:val="24"/>
          <w:szCs w:val="24"/>
        </w:rPr>
      </w:pPr>
      <w:r w:rsidRPr="006958C0">
        <w:rPr>
          <w:rStyle w:val="Gvdemetni2"/>
          <w:b/>
          <w:bCs/>
          <w:color w:val="000000"/>
          <w:sz w:val="24"/>
          <w:szCs w:val="24"/>
        </w:rPr>
        <w:t xml:space="preserve">Eföjr E </w:t>
      </w:r>
      <w:r w:rsidRPr="006958C0">
        <w:rPr>
          <w:rStyle w:val="Gvdemetni2"/>
          <w:b/>
          <w:bCs/>
          <w:sz w:val="24"/>
          <w:szCs w:val="24"/>
        </w:rPr>
        <w:t xml:space="preserve">Evrakı Doğrulamak İçin : </w:t>
      </w:r>
      <w:hyperlink r:id="rId10" w:history="1">
        <w:r w:rsidRPr="006958C0">
          <w:rPr>
            <w:rStyle w:val="Gvdemetni2"/>
            <w:b/>
            <w:bCs/>
            <w:sz w:val="24"/>
            <w:szCs w:val="24"/>
            <w:lang w:val="en-US" w:eastAsia="en-US"/>
          </w:rPr>
          <w:t>https://belgedogrula.tobb.org.tr/belgedogrulama.</w:t>
        </w:r>
        <w:r w:rsidRPr="006958C0">
          <w:rPr>
            <w:rStyle w:val="Gvdemetni2"/>
            <w:b/>
            <w:bCs/>
            <w:sz w:val="24"/>
            <w:szCs w:val="24"/>
          </w:rPr>
          <w:t>aspx?eD=BSRK73K4BE</w:t>
        </w:r>
      </w:hyperlink>
    </w:p>
    <w:p w:rsidR="009A03B4" w:rsidRPr="006958C0" w:rsidRDefault="009A782A">
      <w:pPr>
        <w:pStyle w:val="Gvdemetni20"/>
        <w:ind w:left="1540" w:firstLine="0"/>
        <w:jc w:val="both"/>
        <w:rPr>
          <w:sz w:val="24"/>
          <w:szCs w:val="24"/>
        </w:rPr>
      </w:pPr>
      <w:r w:rsidRPr="006958C0">
        <w:rPr>
          <w:rStyle w:val="Gvdemetni2"/>
          <w:b/>
          <w:bCs/>
          <w:sz w:val="24"/>
          <w:szCs w:val="24"/>
        </w:rPr>
        <w:t>Tel: +90 (312) 218 20 00 (PBX) - Faks : +90 (312) 219 40 90 -91 -92... - E-</w:t>
      </w:r>
      <w:r w:rsidRPr="006958C0">
        <w:rPr>
          <w:rStyle w:val="Gvdemetni2"/>
          <w:b/>
          <w:bCs/>
          <w:sz w:val="24"/>
          <w:szCs w:val="24"/>
        </w:rPr>
        <w:t xml:space="preserve">Posta : </w:t>
      </w:r>
      <w:hyperlink r:id="rId11" w:history="1">
        <w:r w:rsidRPr="006958C0">
          <w:rPr>
            <w:rStyle w:val="Gvdemetni2"/>
            <w:b/>
            <w:bCs/>
            <w:sz w:val="24"/>
            <w:szCs w:val="24"/>
            <w:lang w:val="en-US" w:eastAsia="en-US"/>
          </w:rPr>
          <w:t>info@tobb.org.tr</w:t>
        </w:r>
      </w:hyperlink>
    </w:p>
    <w:p w:rsidR="009A03B4" w:rsidRPr="006958C0" w:rsidRDefault="009A782A">
      <w:pPr>
        <w:pStyle w:val="Gvdemetni20"/>
        <w:spacing w:line="226" w:lineRule="auto"/>
        <w:jc w:val="both"/>
        <w:rPr>
          <w:sz w:val="24"/>
          <w:szCs w:val="24"/>
        </w:rPr>
      </w:pPr>
      <w:r w:rsidRPr="006958C0">
        <w:rPr>
          <w:rStyle w:val="Gvdemetni2"/>
          <w:b/>
          <w:bCs/>
          <w:color w:val="000000"/>
          <w:sz w:val="24"/>
          <w:szCs w:val="24"/>
        </w:rPr>
        <w:t xml:space="preserve">EİİSSK </w:t>
      </w:r>
      <w:r w:rsidRPr="006958C0">
        <w:rPr>
          <w:rStyle w:val="Gvdemetni2"/>
          <w:b/>
          <w:bCs/>
          <w:sz w:val="24"/>
          <w:szCs w:val="24"/>
        </w:rPr>
        <w:t xml:space="preserve">Bilgi İçin: Kubilay ŞİMŞEK - Tel: 0312 218 2230 - E-Posta : </w:t>
      </w:r>
      <w:hyperlink r:id="rId12" w:history="1">
        <w:r w:rsidRPr="006958C0">
          <w:rPr>
            <w:rStyle w:val="Gvdemetni2"/>
            <w:b/>
            <w:bCs/>
            <w:sz w:val="24"/>
            <w:szCs w:val="24"/>
            <w:lang w:val="en-US" w:eastAsia="en-US"/>
          </w:rPr>
          <w:t>kubilay.simsek@tobb.org.tr</w:t>
        </w:r>
      </w:hyperlink>
    </w:p>
    <w:p w:rsidR="009A03B4" w:rsidRPr="006958C0" w:rsidRDefault="009A782A">
      <w:pPr>
        <w:pStyle w:val="Gvdemetni30"/>
        <w:tabs>
          <w:tab w:val="left" w:pos="2689"/>
          <w:tab w:val="left" w:pos="8614"/>
        </w:tabs>
        <w:spacing w:after="0"/>
        <w:ind w:firstLine="0"/>
        <w:jc w:val="both"/>
        <w:rPr>
          <w:sz w:val="24"/>
          <w:szCs w:val="24"/>
        </w:rPr>
      </w:pPr>
      <w:r w:rsidRPr="006958C0">
        <w:rPr>
          <w:rStyle w:val="Gvdemetni3"/>
          <w:color w:val="A4A4A4"/>
          <w:sz w:val="24"/>
          <w:szCs w:val="24"/>
        </w:rPr>
        <w:t>Bu belge,</w:t>
      </w:r>
      <w:r w:rsidRPr="006958C0">
        <w:rPr>
          <w:rStyle w:val="Gvdemetni3"/>
          <w:rFonts w:ascii="Times New Roman" w:eastAsia="Times New Roman" w:hAnsi="Times New Roman" w:cs="Times New Roman"/>
          <w:sz w:val="24"/>
          <w:szCs w:val="24"/>
        </w:rPr>
        <w:t>fia23/&amp;/fMâ7k2ıQWWS;L®&amp;^</w:t>
      </w:r>
      <w:r w:rsidRPr="006958C0">
        <w:rPr>
          <w:rStyle w:val="Gvdemetni3"/>
          <w:rFonts w:ascii="Times New Roman" w:eastAsia="Times New Roman" w:hAnsi="Times New Roman" w:cs="Times New Roman"/>
          <w:sz w:val="24"/>
          <w:szCs w:val="24"/>
        </w:rPr>
        <w:tab/>
      </w:r>
      <w:r w:rsidRPr="006958C0">
        <w:rPr>
          <w:rStyle w:val="Gvdemetni3"/>
          <w:color w:val="A4A4A4"/>
          <w:sz w:val="24"/>
          <w:szCs w:val="24"/>
        </w:rPr>
        <w:t xml:space="preserve">göre GüveBi4:ğii"izd®:ISQ.3C0ii^t5iK-alLt3 </w:t>
      </w:r>
      <w:r w:rsidRPr="006958C0">
        <w:rPr>
          <w:rStyle w:val="Gvdemetni3"/>
          <w:sz w:val="24"/>
          <w:szCs w:val="24"/>
        </w:rPr>
        <w:t>Yönetim Sistemi uygulanmaktadır</w:t>
      </w:r>
      <w:r w:rsidRPr="006958C0">
        <w:rPr>
          <w:rStyle w:val="Gvdemetni3"/>
          <w:sz w:val="24"/>
          <w:szCs w:val="24"/>
        </w:rPr>
        <w:tab/>
        <w:t xml:space="preserve">Sayfa </w:t>
      </w:r>
      <w:r w:rsidRPr="006958C0">
        <w:rPr>
          <w:rStyle w:val="Gvdemetni3"/>
          <w:rFonts w:ascii="Times New Roman" w:eastAsia="Times New Roman" w:hAnsi="Times New Roman" w:cs="Times New Roman"/>
          <w:sz w:val="24"/>
          <w:szCs w:val="24"/>
        </w:rPr>
        <w:t>1/2</w:t>
      </w:r>
    </w:p>
    <w:p w:rsidR="009A03B4" w:rsidRPr="006958C0" w:rsidRDefault="009A782A">
      <w:pPr>
        <w:pStyle w:val="Gvdemetni40"/>
        <w:spacing w:after="200"/>
        <w:ind w:left="0"/>
        <w:jc w:val="both"/>
        <w:rPr>
          <w:sz w:val="24"/>
          <w:szCs w:val="24"/>
        </w:rPr>
      </w:pPr>
      <w:r w:rsidRPr="006958C0">
        <w:rPr>
          <w:rStyle w:val="Gvdemetni4"/>
          <w:b/>
          <w:bCs/>
          <w:sz w:val="24"/>
          <w:szCs w:val="24"/>
          <w:lang w:val="tr-TR" w:eastAsia="tr-TR"/>
        </w:rPr>
        <w:t xml:space="preserve">Evrak sorgulaması </w:t>
      </w:r>
      <w:hyperlink r:id="rId13" w:history="1">
        <w:r w:rsidRPr="006958C0">
          <w:rPr>
            <w:rStyle w:val="Gvdemetni4"/>
            <w:b/>
            <w:bCs/>
            <w:sz w:val="24"/>
            <w:szCs w:val="24"/>
          </w:rPr>
          <w:t>https://ebys.denizticaretodasi.org.tr/enVision/Sorgula/BSUC60FP0</w:t>
        </w:r>
      </w:hyperlink>
      <w:r w:rsidRPr="006958C0">
        <w:rPr>
          <w:rStyle w:val="Gvdemetni4"/>
          <w:b/>
          <w:bCs/>
          <w:sz w:val="24"/>
          <w:szCs w:val="24"/>
        </w:rPr>
        <w:t xml:space="preserve"> </w:t>
      </w:r>
      <w:r w:rsidRPr="006958C0">
        <w:rPr>
          <w:rStyle w:val="Gvdemetni4"/>
          <w:b/>
          <w:bCs/>
          <w:sz w:val="24"/>
          <w:szCs w:val="24"/>
          <w:lang w:val="tr-TR" w:eastAsia="tr-TR"/>
        </w:rPr>
        <w:t>adresinden yapılabilir.</w:t>
      </w:r>
    </w:p>
    <w:p w:rsidR="009A03B4" w:rsidRPr="006958C0" w:rsidRDefault="009A782A">
      <w:pPr>
        <w:pStyle w:val="Gvdemetni0"/>
        <w:spacing w:after="40"/>
        <w:ind w:firstLine="0"/>
        <w:jc w:val="center"/>
        <w:rPr>
          <w:sz w:val="24"/>
          <w:szCs w:val="24"/>
        </w:rPr>
      </w:pPr>
      <w:r w:rsidRPr="006958C0">
        <w:rPr>
          <w:rStyle w:val="Gvdemetni"/>
          <w:color w:val="F50507"/>
          <w:sz w:val="24"/>
          <w:szCs w:val="24"/>
        </w:rPr>
        <w:t>HİZMETE ÖZEL</w:t>
      </w:r>
    </w:p>
    <w:p w:rsidR="009A03B4" w:rsidRPr="006958C0" w:rsidRDefault="009A782A">
      <w:pPr>
        <w:jc w:val="right"/>
      </w:pPr>
      <w:r w:rsidRPr="006958C0">
        <w:rPr>
          <w:noProof/>
        </w:rPr>
        <w:drawing>
          <wp:inline distT="0" distB="0" distL="0" distR="0">
            <wp:extent cx="1069340" cy="346710"/>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stretch/>
                  </pic:blipFill>
                  <pic:spPr>
                    <a:xfrm>
                      <a:off x="0" y="0"/>
                      <a:ext cx="1069340" cy="346710"/>
                    </a:xfrm>
                    <a:prstGeom prst="rect">
                      <a:avLst/>
                    </a:prstGeom>
                  </pic:spPr>
                </pic:pic>
              </a:graphicData>
            </a:graphic>
          </wp:inline>
        </w:drawing>
      </w:r>
    </w:p>
    <w:p w:rsidR="009A03B4" w:rsidRPr="006958C0" w:rsidRDefault="009A03B4">
      <w:pPr>
        <w:spacing w:after="279" w:line="1" w:lineRule="exact"/>
      </w:pPr>
    </w:p>
    <w:p w:rsidR="009A03B4" w:rsidRPr="006958C0" w:rsidRDefault="009A782A">
      <w:pPr>
        <w:pStyle w:val="Gvdemetni0"/>
        <w:ind w:left="780" w:firstLine="20"/>
        <w:jc w:val="both"/>
        <w:rPr>
          <w:sz w:val="24"/>
          <w:szCs w:val="24"/>
        </w:rPr>
      </w:pPr>
      <w:r w:rsidRPr="006958C0">
        <w:rPr>
          <w:rStyle w:val="Gvdemetni"/>
          <w:sz w:val="24"/>
          <w:szCs w:val="24"/>
        </w:rPr>
        <w:t>bilgilerin neler olacağına dair Birliğimize ulaşan görüş talebi de Ticaret Bakanlığına bu kapsamda iletilmiştir. Bakanlığın konu hakkındaki cevabi yazısında:</w:t>
      </w:r>
    </w:p>
    <w:p w:rsidR="009A03B4" w:rsidRPr="006958C0" w:rsidRDefault="009A782A">
      <w:pPr>
        <w:pStyle w:val="Gvdemetni0"/>
        <w:ind w:left="780" w:firstLine="20"/>
        <w:jc w:val="both"/>
        <w:rPr>
          <w:sz w:val="24"/>
          <w:szCs w:val="24"/>
        </w:rPr>
      </w:pPr>
      <w:r w:rsidRPr="006958C0">
        <w:rPr>
          <w:rStyle w:val="Gvdemetni"/>
          <w:i/>
          <w:iCs/>
          <w:sz w:val="24"/>
          <w:szCs w:val="24"/>
        </w:rPr>
        <w:t>"İlgi'de kayıtlı yazınızda eşyanın menşeine ilişkin tevsik</w:t>
      </w:r>
      <w:r w:rsidRPr="006958C0">
        <w:rPr>
          <w:rStyle w:val="Gvdemetni"/>
          <w:i/>
          <w:iCs/>
          <w:sz w:val="24"/>
          <w:szCs w:val="24"/>
        </w:rPr>
        <w:t xml:space="preserve"> edici bilgiler ile eşyanın faturasında bulunması gereken bilgilere ilişkin sorular sorulmakta ve Bakanlığımız değerlendirmeleri talep edilmektedir.</w:t>
      </w:r>
    </w:p>
    <w:p w:rsidR="009A03B4" w:rsidRPr="006958C0" w:rsidRDefault="009A782A">
      <w:pPr>
        <w:pStyle w:val="Gvdemetni0"/>
        <w:ind w:left="780" w:firstLine="20"/>
        <w:jc w:val="both"/>
        <w:rPr>
          <w:sz w:val="24"/>
          <w:szCs w:val="24"/>
        </w:rPr>
      </w:pPr>
      <w:r w:rsidRPr="006958C0">
        <w:rPr>
          <w:rStyle w:val="Gvdemetni"/>
          <w:b/>
          <w:i/>
          <w:iCs/>
          <w:sz w:val="24"/>
          <w:szCs w:val="24"/>
        </w:rPr>
        <w:t>Bu kapsamda, eşyanın tercihli olmayan menşei -4458 sayılı Gümrük Kanununun ve Gümrük Yönetmeliğinde belirle</w:t>
      </w:r>
      <w:r w:rsidRPr="006958C0">
        <w:rPr>
          <w:rStyle w:val="Gvdemetni"/>
          <w:b/>
          <w:i/>
          <w:iCs/>
          <w:sz w:val="24"/>
          <w:szCs w:val="24"/>
        </w:rPr>
        <w:t>nen usul ve esaslara göre belirlenmekte olup eşyanın tercihli olmayan menşeini ispat etmek üzere düzenlenen menşe şahadetnamesi gümrük idaresince vize edilmeksizin sadece oda/birliklerce onaylanmaktadır</w:t>
      </w:r>
      <w:r w:rsidRPr="006958C0">
        <w:rPr>
          <w:rStyle w:val="Gvdemetni"/>
          <w:i/>
          <w:iCs/>
          <w:sz w:val="24"/>
          <w:szCs w:val="24"/>
        </w:rPr>
        <w:t>.</w:t>
      </w:r>
    </w:p>
    <w:p w:rsidR="009A03B4" w:rsidRPr="006958C0" w:rsidRDefault="009A782A">
      <w:pPr>
        <w:pStyle w:val="Gvdemetni0"/>
        <w:ind w:left="780" w:firstLine="20"/>
        <w:jc w:val="both"/>
        <w:rPr>
          <w:sz w:val="24"/>
          <w:szCs w:val="24"/>
        </w:rPr>
      </w:pPr>
      <w:r w:rsidRPr="006958C0">
        <w:rPr>
          <w:rStyle w:val="Gvdemetni"/>
          <w:i/>
          <w:iCs/>
          <w:sz w:val="24"/>
          <w:szCs w:val="24"/>
        </w:rPr>
        <w:t>Gümrük Yönetmeliğinin "Menşe ülkenin belirlenmesi" n</w:t>
      </w:r>
      <w:r w:rsidRPr="006958C0">
        <w:rPr>
          <w:rStyle w:val="Gvdemetni"/>
          <w:i/>
          <w:iCs/>
          <w:sz w:val="24"/>
          <w:szCs w:val="24"/>
        </w:rPr>
        <w:t>i düzenleyen 33 üncü maddesinde "Eşyanın başka bir ülkede değişiklik ve işlem görmesi veya üretimin birden fazla ülkede gerçekleştirilmesi halinde bir ülke menşeli sayılabilmesi için, o ülkede yeni bir ürün imal edilmesi veya imalatın önemli bir aşamasının</w:t>
      </w:r>
      <w:r w:rsidRPr="006958C0">
        <w:rPr>
          <w:rStyle w:val="Gvdemetni"/>
          <w:i/>
          <w:iCs/>
          <w:sz w:val="24"/>
          <w:szCs w:val="24"/>
        </w:rPr>
        <w:t xml:space="preserve"> ve ekonomik yönden gerekli görülen en son esaslı işçilik ve eylemin o ülkede bu amaçla donatılmış işletmelerde yapılması gerekir." hükmü yer almaktadır.</w:t>
      </w:r>
    </w:p>
    <w:p w:rsidR="009A03B4" w:rsidRPr="006958C0" w:rsidRDefault="009A782A">
      <w:pPr>
        <w:pStyle w:val="Gvdemetni0"/>
        <w:ind w:left="780" w:firstLine="20"/>
        <w:jc w:val="both"/>
        <w:rPr>
          <w:sz w:val="24"/>
          <w:szCs w:val="24"/>
        </w:rPr>
      </w:pPr>
      <w:r w:rsidRPr="006958C0">
        <w:rPr>
          <w:rStyle w:val="Gvdemetni"/>
          <w:i/>
          <w:iCs/>
          <w:sz w:val="24"/>
          <w:szCs w:val="24"/>
        </w:rPr>
        <w:t>Bununla birlikte, adı geçen Yönetmeliğin 35 inci maddesi gereğince tekstil ürünleri haricinde birden f</w:t>
      </w:r>
      <w:r w:rsidRPr="006958C0">
        <w:rPr>
          <w:rStyle w:val="Gvdemetni"/>
          <w:i/>
          <w:iCs/>
          <w:sz w:val="24"/>
          <w:szCs w:val="24"/>
        </w:rPr>
        <w:t>azla ülkede menşeli olmayan girdiler kullanılmak suretiyle gördüğü işçilik ve işlem sonucunda elde edilen ve EK- 6'da yer alan listedeki ürünlerin o ülke menşeli sayılabilmesi için listenin üçüncü sütununda belirtilen işlem ve işçiliği görmesi gerekir. Eşy</w:t>
      </w:r>
      <w:r w:rsidRPr="006958C0">
        <w:rPr>
          <w:rStyle w:val="Gvdemetni"/>
          <w:i/>
          <w:iCs/>
          <w:sz w:val="24"/>
          <w:szCs w:val="24"/>
        </w:rPr>
        <w:t xml:space="preserve">anın söz konusu listede yer almaması durumunda ise adı geçen Yönetmeliğin EK- 4'de yer alan 5 no.lu notunda belirtildiği şekilde her bir olay bazında Gümrük Kanununun 19 uncu maddesinde belirtilen en son esaslı işçilik ve eylem kavramı çerçevesinde olayın </w:t>
      </w:r>
      <w:r w:rsidRPr="006958C0">
        <w:rPr>
          <w:rStyle w:val="Gvdemetni"/>
          <w:i/>
          <w:iCs/>
          <w:sz w:val="24"/>
          <w:szCs w:val="24"/>
        </w:rPr>
        <w:t>değerlendirilmesi gerekmektedir.</w:t>
      </w:r>
    </w:p>
    <w:p w:rsidR="009A03B4" w:rsidRPr="006958C0" w:rsidRDefault="009A782A">
      <w:pPr>
        <w:pStyle w:val="Gvdemetni0"/>
        <w:ind w:left="780" w:firstLine="20"/>
        <w:jc w:val="both"/>
        <w:rPr>
          <w:b/>
          <w:sz w:val="24"/>
          <w:szCs w:val="24"/>
        </w:rPr>
      </w:pPr>
      <w:r w:rsidRPr="006958C0">
        <w:rPr>
          <w:rStyle w:val="Gvdemetni"/>
          <w:b/>
          <w:i/>
          <w:iCs/>
          <w:sz w:val="24"/>
          <w:szCs w:val="24"/>
        </w:rPr>
        <w:t>Bu çerçevede, menşe şahadetnamelerine konu eşyanın menşeinin belirlenmesi için eşyaya ilişkin özel bir kuralın bulunmaması durumunda Gümrük Kanununun 19 uncu maddesinde belirtilen en son esaslı işçilik ve eylem kavramının n</w:t>
      </w:r>
      <w:r w:rsidRPr="006958C0">
        <w:rPr>
          <w:rStyle w:val="Gvdemetni"/>
          <w:b/>
          <w:i/>
          <w:iCs/>
          <w:sz w:val="24"/>
          <w:szCs w:val="24"/>
        </w:rPr>
        <w:t>e olduğu ve üretim faaliyetlerinin yeni bir ürün üretimi olarak değerlendirilip değerlendirilemeyeceği her bir olay bazında ayrı ayrı değerlendirilmesi gereken teknik bir konudur.</w:t>
      </w:r>
    </w:p>
    <w:p w:rsidR="009A03B4" w:rsidRPr="006958C0" w:rsidRDefault="009A782A">
      <w:pPr>
        <w:pStyle w:val="Gvdemetni0"/>
        <w:ind w:left="780" w:firstLine="20"/>
        <w:jc w:val="both"/>
        <w:rPr>
          <w:sz w:val="24"/>
          <w:szCs w:val="24"/>
        </w:rPr>
      </w:pPr>
      <w:r w:rsidRPr="006958C0">
        <w:rPr>
          <w:rStyle w:val="Gvdemetni"/>
          <w:b/>
          <w:i/>
          <w:iCs/>
          <w:sz w:val="24"/>
          <w:szCs w:val="24"/>
        </w:rPr>
        <w:t xml:space="preserve">Diğer taraftan, </w:t>
      </w:r>
      <w:r w:rsidR="006958C0" w:rsidRPr="006958C0">
        <w:rPr>
          <w:rStyle w:val="Gvdemetni"/>
          <w:b/>
          <w:i/>
          <w:iCs/>
          <w:sz w:val="24"/>
          <w:szCs w:val="24"/>
        </w:rPr>
        <w:t>mezkûr</w:t>
      </w:r>
      <w:r w:rsidRPr="006958C0">
        <w:rPr>
          <w:rStyle w:val="Gvdemetni"/>
          <w:b/>
          <w:i/>
          <w:iCs/>
          <w:sz w:val="24"/>
          <w:szCs w:val="24"/>
        </w:rPr>
        <w:t xml:space="preserve"> yazınızda sorulan "eşyanın menşeini belirlemek için i</w:t>
      </w:r>
      <w:r w:rsidRPr="006958C0">
        <w:rPr>
          <w:rStyle w:val="Gvdemetni"/>
          <w:b/>
          <w:i/>
          <w:iCs/>
          <w:sz w:val="24"/>
          <w:szCs w:val="24"/>
        </w:rPr>
        <w:t>stenilmesi gereken tevsik edici belgelerin” teker teker sayılması mümkün bulunmamakla birlikte, menşe şahadetnamesi düzenlenirken eşyanın üretildiği tesise ilişkin düzenlenen kapasite raporu, üretimde kullanılan girdilere ilişkin faturalar, müstahsil makbu</w:t>
      </w:r>
      <w:r w:rsidRPr="006958C0">
        <w:rPr>
          <w:rStyle w:val="Gvdemetni"/>
          <w:b/>
          <w:i/>
          <w:iCs/>
          <w:sz w:val="24"/>
          <w:szCs w:val="24"/>
        </w:rPr>
        <w:t>zları, maliyet tabloları gibi belgelerin incelenebileceği değerlendirilmektedir</w:t>
      </w:r>
      <w:r w:rsidRPr="006958C0">
        <w:rPr>
          <w:rStyle w:val="Gvdemetni"/>
          <w:i/>
          <w:iCs/>
          <w:sz w:val="24"/>
          <w:szCs w:val="24"/>
        </w:rPr>
        <w:t>. ”</w:t>
      </w:r>
    </w:p>
    <w:p w:rsidR="009A03B4" w:rsidRPr="006958C0" w:rsidRDefault="006958C0">
      <w:pPr>
        <w:pStyle w:val="Gvdemetni0"/>
        <w:ind w:firstLine="780"/>
        <w:rPr>
          <w:sz w:val="24"/>
          <w:szCs w:val="24"/>
        </w:rPr>
      </w:pPr>
      <w:r w:rsidRPr="006958C0">
        <w:rPr>
          <w:rStyle w:val="Gvdemetni"/>
          <w:sz w:val="24"/>
          <w:szCs w:val="24"/>
        </w:rPr>
        <w:t>Şeklinde</w:t>
      </w:r>
      <w:r w:rsidR="009A782A" w:rsidRPr="006958C0">
        <w:rPr>
          <w:rStyle w:val="Gvdemetni"/>
          <w:sz w:val="24"/>
          <w:szCs w:val="24"/>
        </w:rPr>
        <w:t xml:space="preserve"> bilgi verilmiştir.</w:t>
      </w:r>
    </w:p>
    <w:p w:rsidR="009A03B4" w:rsidRPr="006958C0" w:rsidRDefault="009A782A">
      <w:pPr>
        <w:pStyle w:val="Gvdemetni0"/>
        <w:ind w:left="780" w:firstLine="20"/>
        <w:jc w:val="both"/>
        <w:rPr>
          <w:b/>
          <w:sz w:val="24"/>
          <w:szCs w:val="24"/>
        </w:rPr>
      </w:pPr>
      <w:r w:rsidRPr="006958C0">
        <w:rPr>
          <w:rStyle w:val="Gvdemetni"/>
          <w:b/>
          <w:sz w:val="24"/>
          <w:szCs w:val="24"/>
        </w:rPr>
        <w:t xml:space="preserve">Bu itibarla, menşe ve dolaşım belgelerinin onay işlemlerinin Odanızca </w:t>
      </w:r>
      <w:r w:rsidR="006958C0" w:rsidRPr="006958C0">
        <w:rPr>
          <w:rStyle w:val="Gvdemetni"/>
          <w:b/>
          <w:sz w:val="24"/>
          <w:szCs w:val="24"/>
        </w:rPr>
        <w:t>mezkûr</w:t>
      </w:r>
      <w:r w:rsidRPr="006958C0">
        <w:rPr>
          <w:rStyle w:val="Gvdemetni"/>
          <w:b/>
          <w:sz w:val="24"/>
          <w:szCs w:val="24"/>
        </w:rPr>
        <w:t xml:space="preserve"> açıklamalar çerçevesinde gerçekleştirilmesi hususunda gereğini öneml</w:t>
      </w:r>
      <w:r w:rsidRPr="006958C0">
        <w:rPr>
          <w:rStyle w:val="Gvdemetni"/>
          <w:b/>
          <w:sz w:val="24"/>
          <w:szCs w:val="24"/>
        </w:rPr>
        <w:t>e rica ederim.</w:t>
      </w:r>
    </w:p>
    <w:p w:rsidR="009A03B4" w:rsidRPr="006958C0" w:rsidRDefault="009A782A">
      <w:pPr>
        <w:pStyle w:val="Gvdemetni0"/>
        <w:spacing w:after="320"/>
        <w:ind w:firstLine="780"/>
        <w:rPr>
          <w:sz w:val="24"/>
          <w:szCs w:val="24"/>
        </w:rPr>
      </w:pPr>
      <w:r w:rsidRPr="006958C0">
        <w:rPr>
          <w:rStyle w:val="Gvdemetni"/>
          <w:sz w:val="24"/>
          <w:szCs w:val="24"/>
        </w:rPr>
        <w:t>Saygılarımla,</w:t>
      </w:r>
      <w:bookmarkStart w:id="1" w:name="_GoBack"/>
      <w:bookmarkEnd w:id="1"/>
    </w:p>
    <w:p w:rsidR="009A03B4" w:rsidRPr="006958C0" w:rsidRDefault="009A782A">
      <w:pPr>
        <w:pStyle w:val="Gvdemetni0"/>
        <w:spacing w:after="0"/>
        <w:ind w:firstLine="780"/>
        <w:rPr>
          <w:sz w:val="24"/>
          <w:szCs w:val="24"/>
        </w:rPr>
      </w:pPr>
      <w:r w:rsidRPr="006958C0">
        <w:rPr>
          <w:rStyle w:val="Gvdemetni"/>
          <w:i/>
          <w:iCs/>
          <w:color w:val="061D5D"/>
          <w:sz w:val="24"/>
          <w:szCs w:val="24"/>
        </w:rPr>
        <w:t>e-öwpz</w:t>
      </w:r>
    </w:p>
    <w:p w:rsidR="009A03B4" w:rsidRPr="006958C0" w:rsidRDefault="009A782A">
      <w:pPr>
        <w:pStyle w:val="Gvdemetni0"/>
        <w:spacing w:after="0"/>
        <w:ind w:firstLine="780"/>
        <w:rPr>
          <w:sz w:val="24"/>
          <w:szCs w:val="24"/>
        </w:rPr>
      </w:pPr>
      <w:r w:rsidRPr="006958C0">
        <w:rPr>
          <w:rStyle w:val="Gvdemetni"/>
          <w:sz w:val="24"/>
          <w:szCs w:val="24"/>
        </w:rPr>
        <w:t>Mustafa SARAÇÖZ</w:t>
      </w:r>
    </w:p>
    <w:p w:rsidR="009A03B4" w:rsidRPr="006958C0" w:rsidRDefault="009A782A">
      <w:pPr>
        <w:pStyle w:val="Gvdemetni0"/>
        <w:spacing w:after="1360"/>
        <w:ind w:firstLine="780"/>
        <w:rPr>
          <w:sz w:val="24"/>
          <w:szCs w:val="24"/>
        </w:rPr>
      </w:pPr>
      <w:r w:rsidRPr="006958C0">
        <w:rPr>
          <w:rStyle w:val="Gvdemetni"/>
          <w:sz w:val="24"/>
          <w:szCs w:val="24"/>
        </w:rPr>
        <w:t>Genel Sekreter</w:t>
      </w:r>
    </w:p>
    <w:p w:rsidR="009A03B4" w:rsidRPr="006958C0" w:rsidRDefault="009A782A">
      <w:pPr>
        <w:pStyle w:val="Gvdemetni30"/>
        <w:tabs>
          <w:tab w:val="left" w:pos="3358"/>
          <w:tab w:val="left" w:pos="8418"/>
        </w:tabs>
        <w:spacing w:after="220"/>
        <w:ind w:firstLine="780"/>
        <w:rPr>
          <w:sz w:val="24"/>
          <w:szCs w:val="24"/>
        </w:rPr>
      </w:pPr>
      <w:r w:rsidRPr="006958C0">
        <w:rPr>
          <w:rStyle w:val="Gvdemetni3"/>
          <w:sz w:val="24"/>
          <w:szCs w:val="24"/>
        </w:rPr>
        <w:t>F022/1/01.07.2003/5/07.02.2023</w:t>
      </w:r>
      <w:r w:rsidRPr="006958C0">
        <w:rPr>
          <w:rStyle w:val="Gvdemetni3"/>
          <w:sz w:val="24"/>
          <w:szCs w:val="24"/>
        </w:rPr>
        <w:tab/>
        <w:t>Birliğimizde ISO 9001:2008 Kalite Yönetim Sistemi uygulanmaktadır</w:t>
      </w:r>
      <w:r w:rsidRPr="006958C0">
        <w:rPr>
          <w:rStyle w:val="Gvdemetni3"/>
          <w:sz w:val="24"/>
          <w:szCs w:val="24"/>
        </w:rPr>
        <w:tab/>
        <w:t xml:space="preserve">Sayfa </w:t>
      </w:r>
      <w:r w:rsidRPr="006958C0">
        <w:rPr>
          <w:rStyle w:val="Gvdemetni3"/>
          <w:rFonts w:ascii="Times New Roman" w:eastAsia="Times New Roman" w:hAnsi="Times New Roman" w:cs="Times New Roman"/>
          <w:sz w:val="24"/>
          <w:szCs w:val="24"/>
        </w:rPr>
        <w:t>2/2</w:t>
      </w:r>
    </w:p>
    <w:sectPr w:rsidR="009A03B4" w:rsidRPr="006958C0">
      <w:pgSz w:w="11900" w:h="16840"/>
      <w:pgMar w:top="1808" w:right="1293" w:bottom="719" w:left="1039" w:header="138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82A" w:rsidRDefault="009A782A">
      <w:r>
        <w:separator/>
      </w:r>
    </w:p>
  </w:endnote>
  <w:endnote w:type="continuationSeparator" w:id="0">
    <w:p w:rsidR="009A782A" w:rsidRDefault="009A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3B4" w:rsidRDefault="009A782A">
    <w:pPr>
      <w:spacing w:line="1" w:lineRule="exact"/>
    </w:pPr>
    <w:r>
      <w:rPr>
        <w:noProof/>
      </w:rPr>
      <mc:AlternateContent>
        <mc:Choice Requires="wps">
          <w:drawing>
            <wp:anchor distT="0" distB="0" distL="0" distR="0" simplePos="0" relativeHeight="62914691" behindDoc="1" locked="0" layoutInCell="1" allowOverlap="1">
              <wp:simplePos x="0" y="0"/>
              <wp:positionH relativeFrom="page">
                <wp:posOffset>2614930</wp:posOffset>
              </wp:positionH>
              <wp:positionV relativeFrom="page">
                <wp:posOffset>10300335</wp:posOffset>
              </wp:positionV>
              <wp:extent cx="2282825" cy="98425"/>
              <wp:effectExtent l="0" t="0" r="0" b="0"/>
              <wp:wrapNone/>
              <wp:docPr id="3" name="Shape 3"/>
              <wp:cNvGraphicFramePr/>
              <a:graphic xmlns:a="http://schemas.openxmlformats.org/drawingml/2006/main">
                <a:graphicData uri="http://schemas.microsoft.com/office/word/2010/wordprocessingShape">
                  <wps:wsp>
                    <wps:cNvSpPr txBox="1"/>
                    <wps:spPr>
                      <a:xfrm>
                        <a:off x="0" y="0"/>
                        <a:ext cx="2282825" cy="98425"/>
                      </a:xfrm>
                      <a:prstGeom prst="rect">
                        <a:avLst/>
                      </a:prstGeom>
                      <a:noFill/>
                    </wps:spPr>
                    <wps:txbx>
                      <w:txbxContent>
                        <w:p w:rsidR="009A03B4" w:rsidRDefault="009A782A">
                          <w:pPr>
                            <w:pStyle w:val="stbilgiveyaaltbilgi20"/>
                            <w:rPr>
                              <w:sz w:val="18"/>
                              <w:szCs w:val="18"/>
                            </w:rPr>
                          </w:pPr>
                          <w:r>
                            <w:rPr>
                              <w:rStyle w:val="stbilgiveyaaltbilgi2"/>
                              <w:rFonts w:ascii="Calibri" w:eastAsia="Calibri" w:hAnsi="Calibri" w:cs="Calibri"/>
                              <w:color w:val="E26206"/>
                              <w:sz w:val="18"/>
                              <w:szCs w:val="18"/>
                            </w:rPr>
                            <w:t>bilgi@egeuzman.com.tr • www.egeuzman.com.tr</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205.90000000000001pt;margin-top:811.05000000000007pt;width:179.75pt;height:7.75pt;z-index:-188744062;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Style w:val="CharStyle3"/>
                        <w:rFonts w:ascii="Calibri" w:eastAsia="Calibri" w:hAnsi="Calibri" w:cs="Calibri"/>
                        <w:color w:val="E26206"/>
                        <w:sz w:val="18"/>
                        <w:szCs w:val="18"/>
                      </w:rPr>
                      <w:t>bilgi@egeuzman.com.tr • www.egeuzman.com.tr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82A" w:rsidRDefault="009A782A"/>
  </w:footnote>
  <w:footnote w:type="continuationSeparator" w:id="0">
    <w:p w:rsidR="009A782A" w:rsidRDefault="009A782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6"/>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3B4"/>
    <w:rsid w:val="006958C0"/>
    <w:rsid w:val="009A03B4"/>
    <w:rsid w:val="009A78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627E"/>
  <w15:docId w15:val="{77807E3D-93D8-465B-AD72-F2AB2505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19"/>
      <w:szCs w:val="19"/>
      <w:u w:val="none"/>
    </w:rPr>
  </w:style>
  <w:style w:type="character" w:customStyle="1" w:styleId="Balk1">
    <w:name w:val="Başlık #1_"/>
    <w:basedOn w:val="VarsaylanParagrafYazTipi"/>
    <w:link w:val="Balk10"/>
    <w:rPr>
      <w:rFonts w:ascii="Arial" w:eastAsia="Arial" w:hAnsi="Arial" w:cs="Arial"/>
      <w:b/>
      <w:bCs/>
      <w:i w:val="0"/>
      <w:iCs w:val="0"/>
      <w:smallCaps w:val="0"/>
      <w:strike w:val="0"/>
      <w:color w:val="3E3E3E"/>
      <w:u w:val="none"/>
    </w:rPr>
  </w:style>
  <w:style w:type="character" w:customStyle="1" w:styleId="Gvdemetni4">
    <w:name w:val="Gövde metni (4)_"/>
    <w:basedOn w:val="VarsaylanParagrafYazTipi"/>
    <w:link w:val="Gvdemetni40"/>
    <w:rPr>
      <w:rFonts w:ascii="Arial" w:eastAsia="Arial" w:hAnsi="Arial" w:cs="Arial"/>
      <w:b/>
      <w:bCs/>
      <w:i w:val="0"/>
      <w:iCs w:val="0"/>
      <w:smallCaps w:val="0"/>
      <w:strike w:val="0"/>
      <w:color w:val="A4A4A4"/>
      <w:sz w:val="12"/>
      <w:szCs w:val="12"/>
      <w:u w:val="none"/>
      <w:lang w:val="en-US" w:eastAsia="en-US"/>
    </w:rPr>
  </w:style>
  <w:style w:type="character" w:customStyle="1" w:styleId="Gvdemetni2">
    <w:name w:val="Gövde metni (2)_"/>
    <w:basedOn w:val="VarsaylanParagrafYazTipi"/>
    <w:link w:val="Gvdemetni20"/>
    <w:rPr>
      <w:rFonts w:ascii="Calibri" w:eastAsia="Calibri" w:hAnsi="Calibri" w:cs="Calibri"/>
      <w:b/>
      <w:bCs/>
      <w:i w:val="0"/>
      <w:iCs w:val="0"/>
      <w:smallCaps w:val="0"/>
      <w:strike w:val="0"/>
      <w:color w:val="7F7F7F"/>
      <w:sz w:val="17"/>
      <w:szCs w:val="17"/>
      <w:u w:val="none"/>
    </w:rPr>
  </w:style>
  <w:style w:type="character" w:customStyle="1" w:styleId="Gvdemetni3">
    <w:name w:val="Gövde metni (3)_"/>
    <w:basedOn w:val="VarsaylanParagrafYazTipi"/>
    <w:link w:val="Gvdemetni30"/>
    <w:rPr>
      <w:rFonts w:ascii="Calibri" w:eastAsia="Calibri" w:hAnsi="Calibri" w:cs="Calibri"/>
      <w:b w:val="0"/>
      <w:bCs w:val="0"/>
      <w:i w:val="0"/>
      <w:iCs w:val="0"/>
      <w:smallCaps w:val="0"/>
      <w:strike w:val="0"/>
      <w:color w:val="7F7F7F"/>
      <w:sz w:val="14"/>
      <w:szCs w:val="14"/>
      <w:u w:val="none"/>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Gvdemetni0">
    <w:name w:val="Gövde metni"/>
    <w:basedOn w:val="Normal"/>
    <w:link w:val="Gvdemetni"/>
    <w:pPr>
      <w:spacing w:after="220"/>
      <w:ind w:firstLine="60"/>
    </w:pPr>
    <w:rPr>
      <w:rFonts w:ascii="Times New Roman" w:eastAsia="Times New Roman" w:hAnsi="Times New Roman" w:cs="Times New Roman"/>
      <w:sz w:val="19"/>
      <w:szCs w:val="19"/>
    </w:rPr>
  </w:style>
  <w:style w:type="paragraph" w:customStyle="1" w:styleId="Balk10">
    <w:name w:val="Başlık #1"/>
    <w:basedOn w:val="Normal"/>
    <w:link w:val="Balk1"/>
    <w:pPr>
      <w:spacing w:after="160"/>
      <w:outlineLvl w:val="0"/>
    </w:pPr>
    <w:rPr>
      <w:rFonts w:ascii="Arial" w:eastAsia="Arial" w:hAnsi="Arial" w:cs="Arial"/>
      <w:b/>
      <w:bCs/>
      <w:color w:val="3E3E3E"/>
    </w:rPr>
  </w:style>
  <w:style w:type="paragraph" w:customStyle="1" w:styleId="Gvdemetni40">
    <w:name w:val="Gövde metni (4)"/>
    <w:basedOn w:val="Normal"/>
    <w:link w:val="Gvdemetni4"/>
    <w:pPr>
      <w:spacing w:after="100"/>
      <w:ind w:left="520"/>
    </w:pPr>
    <w:rPr>
      <w:rFonts w:ascii="Arial" w:eastAsia="Arial" w:hAnsi="Arial" w:cs="Arial"/>
      <w:b/>
      <w:bCs/>
      <w:color w:val="A4A4A4"/>
      <w:sz w:val="12"/>
      <w:szCs w:val="12"/>
      <w:lang w:val="en-US" w:eastAsia="en-US"/>
    </w:rPr>
  </w:style>
  <w:style w:type="paragraph" w:customStyle="1" w:styleId="Gvdemetni20">
    <w:name w:val="Gövde metni (2)"/>
    <w:basedOn w:val="Normal"/>
    <w:link w:val="Gvdemetni2"/>
    <w:pPr>
      <w:ind w:firstLine="500"/>
    </w:pPr>
    <w:rPr>
      <w:rFonts w:ascii="Calibri" w:eastAsia="Calibri" w:hAnsi="Calibri" w:cs="Calibri"/>
      <w:b/>
      <w:bCs/>
      <w:color w:val="7F7F7F"/>
      <w:sz w:val="17"/>
      <w:szCs w:val="17"/>
    </w:rPr>
  </w:style>
  <w:style w:type="paragraph" w:customStyle="1" w:styleId="Gvdemetni30">
    <w:name w:val="Gövde metni (3)"/>
    <w:basedOn w:val="Normal"/>
    <w:link w:val="Gvdemetni3"/>
    <w:pPr>
      <w:spacing w:after="110"/>
      <w:ind w:firstLine="390"/>
    </w:pPr>
    <w:rPr>
      <w:rFonts w:ascii="Calibri" w:eastAsia="Calibri" w:hAnsi="Calibri" w:cs="Calibri"/>
      <w:color w:val="7F7F7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bys.denizticaretodasi.org.tr/enVision/Sorgula/BSUC60FP0"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mailto:kubilay.simsek@tobb.org.t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mailto:info@tobb.org.tr"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belgedogrula.tobb.org.tr/belgedogrulama.aspx?eD=BSRK73K4BE" TargetMode="External"/><Relationship Id="rId4" Type="http://schemas.openxmlformats.org/officeDocument/2006/relationships/footnotes" Target="footnotes.xml"/><Relationship Id="rId9" Type="http://schemas.openxmlformats.org/officeDocument/2006/relationships/hyperlink" Target="mailto:tobb@hs01.kep.tr" TargetMode="External"/><Relationship Id="rId14"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1064</Words>
  <Characters>6070</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GUMRUK / ISTANBUL</dc:creator>
  <cp:lastModifiedBy>Önal YILMAZ – ASSET GLI / İSTANBUL</cp:lastModifiedBy>
  <cp:revision>2</cp:revision>
  <dcterms:created xsi:type="dcterms:W3CDTF">2024-08-29T06:10:00Z</dcterms:created>
  <dcterms:modified xsi:type="dcterms:W3CDTF">2024-08-29T06:10:00Z</dcterms:modified>
</cp:coreProperties>
</file>