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7512F8" w:rsidRPr="007512F8" w:rsidTr="007512F8">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7512F8" w:rsidRPr="007512F8">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7512F8" w:rsidRPr="007512F8">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7512F8" w:rsidRPr="007512F8">
                          <w:tc>
                            <w:tcPr>
                              <w:tcW w:w="0" w:type="auto"/>
                              <w:vAlign w:val="center"/>
                              <w:hideMark/>
                            </w:tcPr>
                            <w:p w:rsidR="007512F8" w:rsidRPr="007512F8" w:rsidRDefault="007512F8" w:rsidP="007512F8">
                              <w:pPr>
                                <w:spacing w:after="0" w:line="240" w:lineRule="auto"/>
                                <w:jc w:val="center"/>
                                <w:rPr>
                                  <w:rFonts w:ascii="Verdana" w:eastAsia="Times New Roman" w:hAnsi="Verdana" w:cs="Times New Roman"/>
                                  <w:b/>
                                  <w:bCs/>
                                  <w:color w:val="9CA4BE"/>
                                  <w:sz w:val="18"/>
                                  <w:szCs w:val="18"/>
                                  <w:lang w:eastAsia="tr-TR"/>
                                </w:rPr>
                              </w:pPr>
                              <w:r w:rsidRPr="007512F8">
                                <w:rPr>
                                  <w:rFonts w:ascii="Verdana" w:eastAsia="Times New Roman" w:hAnsi="Verdana" w:cs="Times New Roman"/>
                                  <w:b/>
                                  <w:bCs/>
                                  <w:color w:val="9CA4BE"/>
                                  <w:sz w:val="18"/>
                                  <w:szCs w:val="18"/>
                                  <w:lang w:eastAsia="tr-TR"/>
                                </w:rPr>
                                <w:t>İthalatta Haksız Rekabetin Önlenmesine İlişkin Tebliğ (No: 2016/25) (21.07.2016 T. 29777 R.G.)</w:t>
                              </w:r>
                            </w:p>
                          </w:tc>
                        </w:tr>
                        <w:tr w:rsidR="007512F8" w:rsidRPr="007512F8">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7512F8" w:rsidRPr="007512F8">
                                <w:trPr>
                                  <w:tblCellSpacing w:w="15" w:type="dxa"/>
                                </w:trPr>
                                <w:tc>
                                  <w:tcPr>
                                    <w:tcW w:w="0" w:type="auto"/>
                                    <w:vAlign w:val="center"/>
                                    <w:hideMark/>
                                  </w:tcPr>
                                  <w:p w:rsidR="007512F8" w:rsidRPr="007512F8" w:rsidRDefault="007512F8" w:rsidP="007512F8">
                                    <w:pPr>
                                      <w:spacing w:after="0" w:line="240" w:lineRule="auto"/>
                                      <w:rPr>
                                        <w:rFonts w:ascii="Times New Roman" w:eastAsia="Times New Roman" w:hAnsi="Times New Roman" w:cs="Times New Roman"/>
                                        <w:sz w:val="24"/>
                                        <w:szCs w:val="24"/>
                                        <w:lang w:eastAsia="tr-TR"/>
                                      </w:rPr>
                                    </w:pPr>
                                  </w:p>
                                </w:tc>
                              </w:tr>
                            </w:tbl>
                            <w:p w:rsidR="007512F8" w:rsidRPr="007512F8" w:rsidRDefault="007512F8" w:rsidP="007512F8">
                              <w:pPr>
                                <w:spacing w:after="0" w:line="240" w:lineRule="auto"/>
                                <w:rPr>
                                  <w:rFonts w:ascii="Times New Roman" w:eastAsia="Times New Roman" w:hAnsi="Times New Roman" w:cs="Times New Roman"/>
                                  <w:sz w:val="24"/>
                                  <w:szCs w:val="24"/>
                                  <w:lang w:eastAsia="tr-TR"/>
                                </w:rPr>
                              </w:pPr>
                            </w:p>
                          </w:tc>
                        </w:tr>
                        <w:tr w:rsidR="007512F8" w:rsidRPr="007512F8">
                          <w:tc>
                            <w:tcPr>
                              <w:tcW w:w="0" w:type="auto"/>
                              <w:tcMar>
                                <w:top w:w="300" w:type="dxa"/>
                                <w:left w:w="150" w:type="dxa"/>
                                <w:bottom w:w="0" w:type="dxa"/>
                                <w:right w:w="150" w:type="dxa"/>
                              </w:tcMar>
                              <w:vAlign w:val="center"/>
                            </w:tcPr>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u w:val="single"/>
                                  <w:lang w:eastAsia="tr-TR"/>
                                </w:rPr>
                              </w:pPr>
                              <w:r w:rsidRPr="007512F8">
                                <w:rPr>
                                  <w:rFonts w:ascii="Verdana" w:eastAsia="Times New Roman" w:hAnsi="Verdana" w:cs="Times New Roman"/>
                                  <w:color w:val="000000"/>
                                  <w:sz w:val="20"/>
                                  <w:szCs w:val="20"/>
                                  <w:u w:val="single"/>
                                  <w:lang w:eastAsia="tr-TR"/>
                                </w:rPr>
                                <w:t>Ekonomi Bakanlığından:</w:t>
                              </w:r>
                            </w:p>
                            <w:p w:rsidR="007512F8" w:rsidRPr="007512F8" w:rsidRDefault="007512F8" w:rsidP="007512F8">
                              <w:pPr>
                                <w:spacing w:after="0" w:line="240" w:lineRule="atLeast"/>
                                <w:jc w:val="center"/>
                                <w:rPr>
                                  <w:rFonts w:ascii="Verdana" w:eastAsia="Times New Roman" w:hAnsi="Verdana" w:cs="Times New Roman"/>
                                  <w:b/>
                                  <w:bCs/>
                                  <w:color w:val="000000"/>
                                  <w:sz w:val="20"/>
                                  <w:szCs w:val="20"/>
                                  <w:lang w:eastAsia="tr-TR"/>
                                </w:rPr>
                              </w:pPr>
                              <w:r w:rsidRPr="007512F8">
                                <w:rPr>
                                  <w:rFonts w:ascii="Verdana" w:eastAsia="Times New Roman" w:hAnsi="Verdana" w:cs="Times New Roman"/>
                                  <w:b/>
                                  <w:bCs/>
                                  <w:color w:val="000000"/>
                                  <w:sz w:val="20"/>
                                  <w:szCs w:val="20"/>
                                  <w:lang w:eastAsia="tr-TR"/>
                                </w:rPr>
                                <w:t>İTHALATTA HAKSIZ REKABETİN ÖNLENMESİNE İLİŞKİN TEBLİĞ</w:t>
                              </w:r>
                            </w:p>
                            <w:p w:rsidR="007512F8" w:rsidRPr="007512F8" w:rsidRDefault="007512F8" w:rsidP="007512F8">
                              <w:pPr>
                                <w:spacing w:after="0" w:line="240" w:lineRule="atLeast"/>
                                <w:jc w:val="center"/>
                                <w:rPr>
                                  <w:rFonts w:ascii="Verdana" w:eastAsia="Times New Roman" w:hAnsi="Verdana" w:cs="Times New Roman"/>
                                  <w:b/>
                                  <w:bCs/>
                                  <w:color w:val="000000"/>
                                  <w:sz w:val="20"/>
                                  <w:szCs w:val="20"/>
                                  <w:lang w:eastAsia="tr-TR"/>
                                </w:rPr>
                              </w:pPr>
                              <w:r w:rsidRPr="007512F8">
                                <w:rPr>
                                  <w:rFonts w:ascii="Verdana" w:eastAsia="Times New Roman" w:hAnsi="Verdana" w:cs="Times New Roman"/>
                                  <w:b/>
                                  <w:bCs/>
                                  <w:color w:val="000000"/>
                                  <w:sz w:val="20"/>
                                  <w:szCs w:val="20"/>
                                  <w:lang w:eastAsia="tr-TR"/>
                                </w:rPr>
                                <w:t>(TEBLİĞ NO: 2016/25)</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Amaç ve kapsam</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1 –</w:t>
                              </w:r>
                              <w:r w:rsidRPr="007512F8">
                                <w:rPr>
                                  <w:rFonts w:ascii="Verdana" w:eastAsia="Times New Roman" w:hAnsi="Verdana" w:cs="Times New Roman"/>
                                  <w:color w:val="000000"/>
                                  <w:sz w:val="20"/>
                                  <w:szCs w:val="20"/>
                                  <w:lang w:eastAsia="tr-TR"/>
                                </w:rPr>
                                <w:t> (1) Bu Tebliğin amacı, Plastay Kimya San. ve Tic. A.Ş. tarafından yapılan ve Plastifay Kimya End. A.Ş., Ela Kimyevi Maddeler San. ve Tic. Ltd. Şti. ile Arkim Kimya San. A.Ş. tarafından desteklenen başvuruya istinaden Kore Cumhuriyeti menşeli “dioktil ftalat” ithalatına yönelik olarak damping soruşturması açılması ve açılan soruşturmanın usul ve esaslarının belirlenmesidir.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Dayanak</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2 –</w:t>
                              </w:r>
                              <w:r w:rsidRPr="007512F8">
                                <w:rPr>
                                  <w:rFonts w:ascii="Verdana" w:eastAsia="Times New Roman" w:hAnsi="Verdana" w:cs="Times New Roman"/>
                                  <w:color w:val="000000"/>
                                  <w:sz w:val="20"/>
                                  <w:szCs w:val="20"/>
                                  <w:lang w:eastAsia="tr-TR"/>
                                </w:rPr>
                                <w:t>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Tanımlar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3 –</w:t>
                              </w:r>
                              <w:r w:rsidRPr="007512F8">
                                <w:rPr>
                                  <w:rFonts w:ascii="Verdana" w:eastAsia="Times New Roman" w:hAnsi="Verdana" w:cs="Times New Roman"/>
                                  <w:color w:val="000000"/>
                                  <w:sz w:val="20"/>
                                  <w:szCs w:val="20"/>
                                  <w:lang w:eastAsia="tr-TR"/>
                                </w:rPr>
                                <w:t> (1) Bu Tebliğde geçen;</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a) Bakanlık: Ekonomi Bakanlığını,</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b) Genel Müdürlük: Bakanlık İthalat Genel Müdürlüğünü,</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c) GTİP: Gümrük tarife istatistik pozisyonunu,</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ç) Kanun: 14/6/1989 tarihli ve 3577 sayılı İthalatta Haksız Rekabetin Önlenmesi Hakkında Kanunu,</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d) Karar: 20/10/1999 tarihli ve 99/13482 sayılı Bakanlar Kurulu Kararı ile yürürlüğe konulan İthalatta Haksız Rekabetin Önlenmesi Hakkında Kararı,</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e) Plastay: Plastay Kimya San. ve Tic. A.Ş.’yi,</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f) TÜİK: Türkiye İstatistik Kurumunu,</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g) Yönetmelik: 30/10/1999 tarihli ve 23861 sayılı Resmî Gazete’de yayımlanan İthalatta Haksız Rekabetin Önlenmesi Hakkında Yönetmeliği,</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ğ) YÜD: Yerli üretim dalını,</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ifade eder.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Başvuru konusu ürün</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4 –</w:t>
                              </w:r>
                              <w:r w:rsidRPr="007512F8">
                                <w:rPr>
                                  <w:rFonts w:ascii="Verdana" w:eastAsia="Times New Roman" w:hAnsi="Verdana" w:cs="Times New Roman"/>
                                  <w:color w:val="000000"/>
                                  <w:sz w:val="20"/>
                                  <w:szCs w:val="20"/>
                                  <w:lang w:eastAsia="tr-TR"/>
                                </w:rPr>
                                <w:t> (1) Başvuru konusu ürün, 2917.32.00.00.00 GTİP’te sınıflandırılan “dioktil ortoftalatlar (dioktilftalat)”dır.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(2) Bahse konu GTİP, bilgi amaçlı verilmiş olup bağlayıcı mahiyette değildir.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(3) Başvuru konusu ürünün Türk Gümrük Tarife Cetvelinde yer alan tarife pozisyonunda ve/veya eşya tanımında yapılacak değişiklikler bu Tebliğ hükümlerinin uygulanmasına engel teşkil etmez.</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Başvurunun temsil niteliği</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5 –</w:t>
                              </w:r>
                              <w:r w:rsidRPr="007512F8">
                                <w:rPr>
                                  <w:rFonts w:ascii="Verdana" w:eastAsia="Times New Roman" w:hAnsi="Verdana" w:cs="Times New Roman"/>
                                  <w:color w:val="000000"/>
                                  <w:sz w:val="20"/>
                                  <w:szCs w:val="20"/>
                                  <w:lang w:eastAsia="tr-TR"/>
                                </w:rPr>
                                <w:t> (1) Başvuru aşamasında sunulan delillerden, Yönetmeliğin 20 nci maddesi uyarınca başvuru yeterliliğine sahip olan yerli üretici Plastay firmasının Yönetmeliğin 18 inci maddesi çerçevesinde yerli üretim dalını temsil niteliğini haiz olduğu anlaşılmıştır. Bu kapsamda, Plastay firması bu Tebliğin ilgili bölümlerinde YÜD olarak anılacaktır.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Damping iddiası</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6 –</w:t>
                              </w:r>
                              <w:r w:rsidRPr="007512F8">
                                <w:rPr>
                                  <w:rFonts w:ascii="Verdana" w:eastAsia="Times New Roman" w:hAnsi="Verdana" w:cs="Times New Roman"/>
                                  <w:color w:val="000000"/>
                                  <w:sz w:val="20"/>
                                  <w:szCs w:val="20"/>
                                  <w:lang w:eastAsia="tr-TR"/>
                                </w:rPr>
                                <w:t xml:space="preserve"> (1) Normal değerin tespitinde, geçerli iç piyasa fiyatı, oluşturulmuş normal değer ve Kore Cumhuriyeti’nin Türkiye hariç üçüncü bir ülkeye ihraç fiyatı dahil olmak üzere üç yöntem kullanılmıştır. Geçerli iç piyasa fiyatı için dünya kimyasallar pazarına yönelik sektör raporunda yer alan veriler dikkate alınmıştır. YÜD tarafından 2015 yılı için başvuru konusu ürünün üretiminde kullanılan hammaddelerin birim maliyetlerine direkt işçilik, yardımcı madde, dolaylı işçilik, enerji, paketleme, amortisman gibi genel üretim giderleri, satış ve genel idari giderler ile finansman giderleri eklenmiş ve elde edilen bu fiyata makul bir kâr oranı ilave edilerek oluşturulmuş normal değer hesaplanmıştır. Kore Cumhuriyeti’nin Türkiye hariç üçüncü bir ülkeye ihraç fiyatına ilişkin olarak, Uluslararası Ticaret Merkezi ve Avrupa İstatistik </w:t>
                              </w:r>
                              <w:r w:rsidRPr="007512F8">
                                <w:rPr>
                                  <w:rFonts w:ascii="Verdana" w:eastAsia="Times New Roman" w:hAnsi="Verdana" w:cs="Times New Roman"/>
                                  <w:color w:val="000000"/>
                                  <w:sz w:val="20"/>
                                  <w:szCs w:val="20"/>
                                  <w:lang w:eastAsia="tr-TR"/>
                                </w:rPr>
                                <w:lastRenderedPageBreak/>
                                <w:t>Ofisi’nden temin edilen veriler kullanılarak hesaplanan ihraç birim fiyatlar dikkate alınmıştır. Söz konusu değerlerin fabrika çıkış aşamasında olduğu kabul edilmiştir.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(2) İhraç değerinin tespiti için, 2015 yılı TÜİK verileri kullanılarak, başvuru konusu ürünün Kore Cumhuriyeti’nden ithalatında oluşan ortalama ihraç fiyatı dikkate alınmıştır. Söz konusu ihraç fiyatı, harici navlun ve sigorta bedelleri düşürülerek fabrika çıkış aşamasına getirilmiştir.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(3) Bu maddede açıklandığı şekilde tespit edilen normal değerler ile Türkiye’ye ihraç fiyatı mümkün olduğu ölçüde aynı ticari aşamada, diğer bir ifadeyle, fabrika çıkış aşamasında, karşılaştırılmış olup başvuruya konu ülke menşeli ürün için hesaplanan damping marjlarının Yönetmeliğin 28 inci maddesinde zikredilen ihmal edilebilir oranların üzerinde olduğu görülmüştür.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Zarar ve nedensellik iddiası</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7 – </w:t>
                              </w:r>
                              <w:r w:rsidRPr="007512F8">
                                <w:rPr>
                                  <w:rFonts w:ascii="Verdana" w:eastAsia="Times New Roman" w:hAnsi="Verdana" w:cs="Times New Roman"/>
                                  <w:color w:val="000000"/>
                                  <w:sz w:val="20"/>
                                  <w:szCs w:val="20"/>
                                  <w:lang w:eastAsia="tr-TR"/>
                                </w:rPr>
                                <w:t>(1) Yönetmeliğin 17 nci maddesi çerçevesinde zarar iddiasının incelenmesi amacıyla, başvuru konusu üründe Kore Cumhuriyeti menşeli ithalatın seyri ve pazar payı ile YÜD’ün ekonomik göstergelerinin durumu ve Kore Cumhuriyeti menşeli ithalatın YÜD’ün fiyatlarını nasıl etkilediği değerlendirilmiştir.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(2) Kore Cumhuriyeti menşeli ithalatın 2013-2015 döneminde miktar bazında yükseldiği; aynı zamanda anılan dönem itibarıyla Kore Cumhuriyeti menşeli ithalatın pazar payında ciddi oranlarda artış yaşandığı tespit edilmiştir.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(3) YÜD’ün başvuru konusu ürüne ilişkin olarak 2013-2015 döneminde üretim, yurtiçi satış, kapasite kullanım oranı, stoklar, istihdam gibi ekonomik göstergelerinde bozulmalar yaşandığı ve ayrıca anılan dönemde YÜD’ünkarlılığının negatif seyrettiği görülmüştür.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(4) Kore Cumhuriyeti menşeli ithalatın YÜD’ün birim fiyatlarını 2013-2015 döneminde kırdığı ve baskı altında tuttuğu tespit edilmiştir.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(5) Başvuru aşamasında sunulan deliller ve ithalata ilişkin resmî istatistikler esas alınarak yapılan tespitler ışığında, dampingli olduğu iddia edilen Kore Cumhuriyeti menşeli ithalatın YÜD üzerinde zarara yol açtığı değerlendirilmiştir.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Karar ve işlemler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8 –</w:t>
                              </w:r>
                              <w:r w:rsidRPr="007512F8">
                                <w:rPr>
                                  <w:rFonts w:ascii="Verdana" w:eastAsia="Times New Roman" w:hAnsi="Verdana" w:cs="Times New Roman"/>
                                  <w:color w:val="000000"/>
                                  <w:sz w:val="20"/>
                                  <w:szCs w:val="20"/>
                                  <w:lang w:eastAsia="tr-TR"/>
                                </w:rPr>
                                <w:t> (1) Yönetmeliğin 20 nci maddesi çerçevesinde bir damping soruşturmasının açılabilmesi için başvuruda yeterli bilgi, belge ve delillerin bulunduğu anlaşıldığından, İthalatta Haksız Rekabeti Değerlendirme Kurulu tarafından Kore Cumhuriyeti menşeli 2917.32.00.00.00 GTİP’li “dioktil ftalat” ürününe yönelik olarak bir damping soruşturması açılmasına karar verilmiştir.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(2) Soruşturma, Genel Müdürlük tarafından yürütülür.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Soru formları ve bilgilerin toplanması</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9 – </w:t>
                              </w:r>
                              <w:r w:rsidRPr="007512F8">
                                <w:rPr>
                                  <w:rFonts w:ascii="Verdana" w:eastAsia="Times New Roman" w:hAnsi="Verdana" w:cs="Times New Roman"/>
                                  <w:color w:val="000000"/>
                                  <w:sz w:val="20"/>
                                  <w:szCs w:val="20"/>
                                  <w:lang w:eastAsia="tr-TR"/>
                                </w:rPr>
                                <w:t>(1) Soruşturma açılmasını müteakip, başvuruda belirtilen ve Bakanlıkça tespit edilen soruşturmaya konu ürünün ithalatçılarına, soruşturma konusu ülkede yerleşik bilinen üreticilerine/ihracatçılarına ve soruşturmaya konu ülkenin Ankara’daki Büyükelçiliğine bildirimde bulunulur.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(2) Bildirimde, soruşturma açılış Tebliğine, başvurunun gizli olmayan özetine ve soru formlarına nasıl erişileceği hususunda bilgi verilir.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(3) Bakanlıkça tespit edilememesi nedeniyle bildirim gönderilemeyen veya kendilerine bildirim ulaşmayan diğer ilgili tarafların soru formuna Bakanlığa ait internet sayfasındaki ilgili bölümden erişmeleri mümkün bulunmaktadır.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(4) Soruşturmaya ilişkin yazılı ve sözlü iletişim Türkçe yapılır. İlgili tarafların soru formuna ilişkin yanıtlarını ve bu yanıtlar dışında kalan tüm bilgi, belge, görüş ve taleplerini yazılı olarak Türkçe sunmaları gerekir. Türkçe dışında bir dilde sunulan yanıt, bilgi, belge, görüş ve talepler dikkate alınmaz.</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(5) İlgili taraflar, soru formunda istenilen bilgiler haricinde, soruşturmayla ilgili olduğu düşünülen diğer bilgi, belge ve görüşlerini, destekleyici deliller ile birlikte Genel Müdürlüğe bu Tebliğin 10 uncu maddesinin ikinci fıkrasında belirtilen süre içerisinde sunabilir.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 xml:space="preserve">(6) Soruşturmanın sonucundan etkilenebileceklerini iddia eden, ancak birinci ve üçüncü fıkra kapsamına girmeyen diğer ilgili taraflar (ürünü girdi olarak kullanan işletmeler, bunların meslek kuruluşları, tüketici dernekleri, üretim dalındaki işçi veya </w:t>
                              </w:r>
                              <w:r w:rsidRPr="007512F8">
                                <w:rPr>
                                  <w:rFonts w:ascii="Verdana" w:eastAsia="Times New Roman" w:hAnsi="Verdana" w:cs="Times New Roman"/>
                                  <w:color w:val="000000"/>
                                  <w:sz w:val="20"/>
                                  <w:szCs w:val="20"/>
                                  <w:lang w:eastAsia="tr-TR"/>
                                </w:rPr>
                                <w:lastRenderedPageBreak/>
                                <w:t>işveren sendikaları gibi), görüşlerini bu Tebliğin 10 uncu maddesinin üçüncü fıkrasında belirtilen süre içerisinde Genel Müdürlüğe sunabilir.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(7) İlgili taraflarca soru formuna verilen cevaplar, soruşturmayla ilgili sunulan diğer bilgi, belge ve görüşler ile destekleyici deliller aksi belirtilmedikçe yazılı olarak sunulur. Yazılı sunumlarda ilgili tarafların isim ve unvanı, adres bilgileri, elektronik posta adresi, telefon ve faks numaraları belirtilir.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(8) Soruşturma süresince Yönetmeliğin 22 nci maddesinin ikinci ve üçüncü fıkraları çerçevesinde gizlilik kaydıyla verilen her tür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Süreler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10 – </w:t>
                              </w:r>
                              <w:r w:rsidRPr="007512F8">
                                <w:rPr>
                                  <w:rFonts w:ascii="Verdana" w:eastAsia="Times New Roman" w:hAnsi="Verdana" w:cs="Times New Roman"/>
                                  <w:color w:val="000000"/>
                                  <w:sz w:val="20"/>
                                  <w:szCs w:val="20"/>
                                  <w:lang w:eastAsia="tr-TR"/>
                                </w:rPr>
                                <w:t>(1) 9 uncu maddenin birinci fıkrasında belirtilen bildirimin gönderildiği bütün ilgili taraflar için soru formunu cevaplandırma süresi, soruşturmanın açılışına ilişkin bildirimin gönderildiği tarihten itibaren posta süresi dâhil 37 gündür.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(2) 9 uncu maddenin üçüncü ve beşinci fıkrasında belirtilen bildirimin gönderilemediği bütün ilgili taraflar, soruşturma ile ilgili görüşlerini ve soru formuna ilişkin cevaplarını bu Tebliğin yayımı tarihinden itibaren başlayacak 37 günlük süre içerisinde sunabilir.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(3) Soruşturmanın sonucundan etkilenebileceklerini iddia eden 9 uncu maddenin altıncı fıkrası kapsamına giren diğer ilgili taraflar, soruşturma ile ilgili görüşlerini bu Tebliğin yayımı tarihinden itibaren soruşturmanın akışını etkilemeyecek şekilde soruşturma süreci içerisinde sunabilir.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İşbirliğine gelinmemesi</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11 –</w:t>
                              </w:r>
                              <w:r w:rsidRPr="007512F8">
                                <w:rPr>
                                  <w:rFonts w:ascii="Verdana" w:eastAsia="Times New Roman" w:hAnsi="Verdana" w:cs="Times New Roman"/>
                                  <w:color w:val="000000"/>
                                  <w:sz w:val="20"/>
                                  <w:szCs w:val="20"/>
                                  <w:lang w:eastAsia="tr-TR"/>
                                </w:rPr>
                                <w:t> (1) Yönetmeliğin 26 ncı maddesi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mevcut verilere göre yapılabilir.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(2) İlgili tarafların işbirliğine gelmemesi veya kısmen işbirliğine gelmesi halinde, bahse konu taraf için soruşturmanın sonucu işbirliğine gelinmesine nazaran daha az avantajlı olabilir.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Geçici önlem alınması ve önlemlerin geriye dönük uygulanması</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12 –</w:t>
                              </w:r>
                              <w:r w:rsidRPr="007512F8">
                                <w:rPr>
                                  <w:rFonts w:ascii="Verdana" w:eastAsia="Times New Roman" w:hAnsi="Verdana" w:cs="Times New Roman"/>
                                  <w:color w:val="000000"/>
                                  <w:sz w:val="20"/>
                                  <w:szCs w:val="20"/>
                                  <w:lang w:eastAsia="tr-TR"/>
                                </w:rPr>
                                <w:t> (1) Kanun ve Kararın ilgili hükümleri uyarınca, soruşturma süresince geçici önlem uygulanması kararlaştırılabilir ve kesin önlem geriye dönük olarak uygulanabilir.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(2) Önlemlerin uygulanmasında başlamış işlem kavramı ve istisnası bulunmamaktadır.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Yetkili merci ve adresi</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13 – </w:t>
                              </w:r>
                              <w:r w:rsidRPr="007512F8">
                                <w:rPr>
                                  <w:rFonts w:ascii="Verdana" w:eastAsia="Times New Roman" w:hAnsi="Verdana" w:cs="Times New Roman"/>
                                  <w:color w:val="000000"/>
                                  <w:sz w:val="20"/>
                                  <w:szCs w:val="20"/>
                                  <w:lang w:eastAsia="tr-TR"/>
                                </w:rPr>
                                <w:t>(1) Soruşturmayla ilgili bilgi, belge ve görüşlerin aşağıda belirtilen yetkili mercie yazılı olarak iletilmesi gerekir: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T.C. Ekonomi Bakanlığı</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İthalat Genel Müdürlüğü</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Damping ve Sübvansiyon Araştırma Dairesi</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Söğütözü Mahallesi 2180 Cad. No:63</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Çankaya/Ankara</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Faks:+90-312-204 8633</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color w:val="000000"/>
                                  <w:sz w:val="20"/>
                                  <w:szCs w:val="20"/>
                                  <w:lang w:eastAsia="tr-TR"/>
                                </w:rPr>
                                <w:t>E-posta: </w:t>
                              </w:r>
                              <w:r w:rsidRPr="007512F8">
                                <w:rPr>
                                  <w:rFonts w:ascii="Verdana" w:eastAsia="Times New Roman" w:hAnsi="Verdana" w:cs="Times New Roman"/>
                                  <w:color w:val="000000"/>
                                  <w:sz w:val="20"/>
                                  <w:szCs w:val="20"/>
                                  <w:u w:val="single"/>
                                  <w:lang w:eastAsia="tr-TR"/>
                                </w:rPr>
                                <w:t>dms253@ekonomi.gov.tr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Soruşturmanın başlangıç tarihi</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14 – </w:t>
                              </w:r>
                              <w:r w:rsidRPr="007512F8">
                                <w:rPr>
                                  <w:rFonts w:ascii="Verdana" w:eastAsia="Times New Roman" w:hAnsi="Verdana" w:cs="Times New Roman"/>
                                  <w:color w:val="000000"/>
                                  <w:sz w:val="20"/>
                                  <w:szCs w:val="20"/>
                                  <w:lang w:eastAsia="tr-TR"/>
                                </w:rPr>
                                <w:t>(1) Soruşturma, bu Tebliğin yayımı tarihinde başlamış kabul edilir.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Yürürlük</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15 –</w:t>
                              </w:r>
                              <w:r w:rsidRPr="007512F8">
                                <w:rPr>
                                  <w:rFonts w:ascii="Verdana" w:eastAsia="Times New Roman" w:hAnsi="Verdana" w:cs="Times New Roman"/>
                                  <w:color w:val="000000"/>
                                  <w:sz w:val="20"/>
                                  <w:szCs w:val="20"/>
                                  <w:lang w:eastAsia="tr-TR"/>
                                </w:rPr>
                                <w:t> (1) Bu Tebliğ yayımı tarihinde yürürlüğe girer.</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Yürütme</w:t>
                              </w:r>
                            </w:p>
                            <w:p w:rsidR="007512F8" w:rsidRPr="007512F8" w:rsidRDefault="007512F8" w:rsidP="007512F8">
                              <w:pPr>
                                <w:spacing w:after="0" w:line="240" w:lineRule="atLeast"/>
                                <w:ind w:firstLine="566"/>
                                <w:jc w:val="both"/>
                                <w:rPr>
                                  <w:rFonts w:ascii="Verdana" w:eastAsia="Times New Roman" w:hAnsi="Verdana" w:cs="Times New Roman"/>
                                  <w:color w:val="000000"/>
                                  <w:sz w:val="20"/>
                                  <w:szCs w:val="20"/>
                                  <w:lang w:eastAsia="tr-TR"/>
                                </w:rPr>
                              </w:pPr>
                              <w:r w:rsidRPr="007512F8">
                                <w:rPr>
                                  <w:rFonts w:ascii="Verdana" w:eastAsia="Times New Roman" w:hAnsi="Verdana" w:cs="Times New Roman"/>
                                  <w:b/>
                                  <w:bCs/>
                                  <w:color w:val="000000"/>
                                  <w:sz w:val="20"/>
                                  <w:szCs w:val="20"/>
                                  <w:lang w:eastAsia="tr-TR"/>
                                </w:rPr>
                                <w:t>MADDE 16 –</w:t>
                              </w:r>
                              <w:r w:rsidRPr="007512F8">
                                <w:rPr>
                                  <w:rFonts w:ascii="Verdana" w:eastAsia="Times New Roman" w:hAnsi="Verdana" w:cs="Times New Roman"/>
                                  <w:color w:val="000000"/>
                                  <w:sz w:val="20"/>
                                  <w:szCs w:val="20"/>
                                  <w:lang w:eastAsia="tr-TR"/>
                                </w:rPr>
                                <w:t> (1) Bu Tebliğ hükümlerini Ekonomi Bakanı yürütür.</w:t>
                              </w:r>
                            </w:p>
                            <w:p w:rsidR="007512F8" w:rsidRPr="007512F8" w:rsidRDefault="007512F8" w:rsidP="007512F8">
                              <w:pPr>
                                <w:spacing w:after="0" w:line="240" w:lineRule="auto"/>
                                <w:rPr>
                                  <w:rFonts w:ascii="Verdana" w:eastAsia="Times New Roman" w:hAnsi="Verdana" w:cs="Times New Roman"/>
                                  <w:color w:val="000000"/>
                                  <w:sz w:val="20"/>
                                  <w:szCs w:val="20"/>
                                  <w:lang w:eastAsia="tr-TR"/>
                                </w:rPr>
                              </w:pPr>
                            </w:p>
                          </w:tc>
                        </w:tr>
                      </w:tbl>
                      <w:p w:rsidR="007512F8" w:rsidRPr="007512F8" w:rsidRDefault="007512F8" w:rsidP="007512F8">
                        <w:pPr>
                          <w:spacing w:after="0" w:line="240" w:lineRule="auto"/>
                          <w:rPr>
                            <w:rFonts w:ascii="Verdana" w:eastAsia="Times New Roman" w:hAnsi="Verdana" w:cs="Times New Roman"/>
                            <w:color w:val="FFFFFF"/>
                            <w:sz w:val="18"/>
                            <w:szCs w:val="18"/>
                            <w:lang w:eastAsia="tr-TR"/>
                          </w:rPr>
                        </w:pPr>
                      </w:p>
                    </w:tc>
                  </w:tr>
                  <w:tr w:rsidR="007512F8" w:rsidRPr="007512F8">
                    <w:trPr>
                      <w:trHeight w:val="180"/>
                      <w:tblCellSpacing w:w="0" w:type="dxa"/>
                      <w:hidden/>
                    </w:trPr>
                    <w:tc>
                      <w:tcPr>
                        <w:tcW w:w="0" w:type="auto"/>
                        <w:shd w:val="clear" w:color="auto" w:fill="104E83"/>
                        <w:hideMark/>
                      </w:tcPr>
                      <w:p w:rsidR="007512F8" w:rsidRPr="007512F8" w:rsidRDefault="007512F8" w:rsidP="007512F8">
                        <w:pPr>
                          <w:spacing w:after="0" w:line="240" w:lineRule="auto"/>
                          <w:rPr>
                            <w:rFonts w:ascii="Verdana" w:eastAsia="Times New Roman" w:hAnsi="Verdana" w:cs="Times New Roman"/>
                            <w:vanish/>
                            <w:color w:val="FFFFFF"/>
                            <w:sz w:val="18"/>
                            <w:szCs w:val="18"/>
                            <w:lang w:eastAsia="tr-TR"/>
                          </w:rPr>
                        </w:pPr>
                        <w:r w:rsidRPr="007512F8">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7512F8">
                          <w:rPr>
                            <w:rFonts w:ascii="Verdana" w:eastAsia="Times New Roman" w:hAnsi="Verdana" w:cs="Times New Roman"/>
                            <w:vanish/>
                            <w:color w:val="FFFFFF"/>
                            <w:sz w:val="18"/>
                            <w:szCs w:val="18"/>
                            <w:lang w:eastAsia="tr-TR"/>
                          </w:rPr>
                          <w:t>  İlgili Mevzuatları Göster</w:t>
                        </w:r>
                      </w:p>
                    </w:tc>
                  </w:tr>
                  <w:tr w:rsidR="007512F8" w:rsidRPr="007512F8">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7512F8" w:rsidRPr="007512F8">
                          <w:tc>
                            <w:tcPr>
                              <w:tcW w:w="0" w:type="auto"/>
                              <w:vAlign w:val="center"/>
                              <w:hideMark/>
                            </w:tcPr>
                            <w:p w:rsidR="007512F8" w:rsidRPr="007512F8" w:rsidRDefault="007512F8" w:rsidP="007512F8">
                              <w:pPr>
                                <w:spacing w:after="0" w:line="240" w:lineRule="auto"/>
                                <w:rPr>
                                  <w:rFonts w:ascii="Times New Roman" w:eastAsia="Times New Roman" w:hAnsi="Times New Roman" w:cs="Times New Roman"/>
                                  <w:sz w:val="24"/>
                                  <w:szCs w:val="24"/>
                                  <w:lang w:eastAsia="tr-TR"/>
                                </w:rPr>
                              </w:pPr>
                            </w:p>
                          </w:tc>
                        </w:tr>
                      </w:tbl>
                      <w:p w:rsidR="007512F8" w:rsidRPr="007512F8" w:rsidRDefault="007512F8" w:rsidP="007512F8">
                        <w:pPr>
                          <w:spacing w:after="0" w:line="240" w:lineRule="auto"/>
                          <w:rPr>
                            <w:rFonts w:ascii="Verdana" w:eastAsia="Times New Roman" w:hAnsi="Verdana" w:cs="Times New Roman"/>
                            <w:vanish/>
                            <w:color w:val="7AA6D3"/>
                            <w:sz w:val="18"/>
                            <w:szCs w:val="18"/>
                            <w:lang w:eastAsia="tr-TR"/>
                          </w:rPr>
                        </w:pPr>
                      </w:p>
                    </w:tc>
                  </w:tr>
                  <w:tr w:rsidR="007512F8" w:rsidRPr="007512F8">
                    <w:trPr>
                      <w:trHeight w:val="180"/>
                      <w:tblCellSpacing w:w="0" w:type="dxa"/>
                      <w:hidden/>
                    </w:trPr>
                    <w:tc>
                      <w:tcPr>
                        <w:tcW w:w="0" w:type="auto"/>
                        <w:shd w:val="clear" w:color="auto" w:fill="104E83"/>
                        <w:hideMark/>
                      </w:tcPr>
                      <w:p w:rsidR="007512F8" w:rsidRPr="007512F8" w:rsidRDefault="007512F8" w:rsidP="007512F8">
                        <w:pPr>
                          <w:spacing w:after="0" w:line="240" w:lineRule="auto"/>
                          <w:rPr>
                            <w:rFonts w:ascii="Verdana" w:eastAsia="Times New Roman" w:hAnsi="Verdana" w:cs="Times New Roman"/>
                            <w:vanish/>
                            <w:color w:val="FFFFFF"/>
                            <w:sz w:val="18"/>
                            <w:szCs w:val="18"/>
                            <w:lang w:eastAsia="tr-TR"/>
                          </w:rPr>
                        </w:pPr>
                        <w:r w:rsidRPr="007512F8">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7512F8">
                          <w:rPr>
                            <w:rFonts w:ascii="Verdana" w:eastAsia="Times New Roman" w:hAnsi="Verdana" w:cs="Times New Roman"/>
                            <w:vanish/>
                            <w:color w:val="FFFFFF"/>
                            <w:sz w:val="18"/>
                            <w:szCs w:val="18"/>
                            <w:lang w:eastAsia="tr-TR"/>
                          </w:rPr>
                          <w:t>Bu Mevzuatın Yürürlükten Kaldırdığı/Değiştirdiği Mevzuatları Göster</w:t>
                        </w:r>
                      </w:p>
                    </w:tc>
                  </w:tr>
                  <w:tr w:rsidR="007512F8" w:rsidRPr="007512F8">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7512F8" w:rsidRPr="007512F8">
                          <w:tc>
                            <w:tcPr>
                              <w:tcW w:w="0" w:type="auto"/>
                              <w:vAlign w:val="center"/>
                              <w:hideMark/>
                            </w:tcPr>
                            <w:p w:rsidR="007512F8" w:rsidRPr="007512F8" w:rsidRDefault="007512F8" w:rsidP="007512F8">
                              <w:pPr>
                                <w:spacing w:after="0" w:line="240" w:lineRule="auto"/>
                                <w:rPr>
                                  <w:rFonts w:ascii="Times New Roman" w:eastAsia="Times New Roman" w:hAnsi="Times New Roman" w:cs="Times New Roman"/>
                                  <w:sz w:val="24"/>
                                  <w:szCs w:val="24"/>
                                  <w:lang w:eastAsia="tr-TR"/>
                                </w:rPr>
                              </w:pPr>
                            </w:p>
                          </w:tc>
                        </w:tr>
                      </w:tbl>
                      <w:p w:rsidR="007512F8" w:rsidRPr="007512F8" w:rsidRDefault="007512F8" w:rsidP="007512F8">
                        <w:pPr>
                          <w:spacing w:after="0" w:line="150" w:lineRule="atLeast"/>
                          <w:rPr>
                            <w:rFonts w:ascii="Verdana" w:eastAsia="Times New Roman" w:hAnsi="Verdana" w:cs="Times New Roman"/>
                            <w:vanish/>
                            <w:color w:val="7AA6D3"/>
                            <w:sz w:val="18"/>
                            <w:szCs w:val="18"/>
                            <w:lang w:eastAsia="tr-TR"/>
                          </w:rPr>
                        </w:pPr>
                      </w:p>
                    </w:tc>
                  </w:tr>
                </w:tbl>
                <w:p w:rsidR="007512F8" w:rsidRPr="007512F8" w:rsidRDefault="007512F8" w:rsidP="007512F8">
                  <w:pPr>
                    <w:spacing w:after="0" w:line="240" w:lineRule="auto"/>
                    <w:rPr>
                      <w:rFonts w:ascii="Times New Roman" w:eastAsia="Times New Roman" w:hAnsi="Times New Roman" w:cs="Times New Roman"/>
                      <w:sz w:val="24"/>
                      <w:szCs w:val="24"/>
                      <w:lang w:eastAsia="tr-TR"/>
                    </w:rPr>
                  </w:pPr>
                </w:p>
              </w:tc>
            </w:tr>
          </w:tbl>
          <w:p w:rsidR="007512F8" w:rsidRPr="007512F8" w:rsidRDefault="007512F8" w:rsidP="007512F8">
            <w:pPr>
              <w:spacing w:after="0" w:line="240" w:lineRule="auto"/>
              <w:rPr>
                <w:rFonts w:ascii="Times New Roman" w:eastAsia="Times New Roman" w:hAnsi="Times New Roman" w:cs="Times New Roman"/>
                <w:sz w:val="24"/>
                <w:szCs w:val="24"/>
                <w:lang w:eastAsia="tr-TR"/>
              </w:rPr>
            </w:pPr>
          </w:p>
        </w:tc>
      </w:tr>
    </w:tbl>
    <w:p w:rsidR="007512F8" w:rsidRPr="007512F8" w:rsidRDefault="007512F8" w:rsidP="007512F8">
      <w:pPr>
        <w:spacing w:after="0" w:line="240" w:lineRule="auto"/>
        <w:rPr>
          <w:rFonts w:ascii="Times New Roman" w:eastAsia="Times New Roman" w:hAnsi="Times New Roman" w:cs="Times New Roman"/>
          <w:sz w:val="24"/>
          <w:szCs w:val="24"/>
          <w:lang w:eastAsia="tr-TR"/>
        </w:rPr>
      </w:pPr>
      <w:r w:rsidRPr="007512F8">
        <w:rPr>
          <w:rFonts w:ascii="Times New Roman" w:eastAsia="Times New Roman" w:hAnsi="Times New Roman" w:cs="Times New Roman"/>
          <w:sz w:val="24"/>
          <w:szCs w:val="24"/>
          <w:lang w:eastAsia="tr-TR"/>
        </w:rPr>
        <w:lastRenderedPageBreak/>
        <w:t xml:space="preserve">    </w:t>
      </w:r>
    </w:p>
    <w:p w:rsidR="007512F8" w:rsidRPr="007512F8" w:rsidRDefault="007512F8" w:rsidP="007512F8">
      <w:pPr>
        <w:spacing w:after="0" w:line="240" w:lineRule="auto"/>
        <w:rPr>
          <w:rFonts w:ascii="Times New Roman" w:eastAsia="Times New Roman" w:hAnsi="Times New Roman" w:cs="Times New Roman"/>
          <w:vanish/>
          <w:sz w:val="24"/>
          <w:szCs w:val="24"/>
          <w:lang w:eastAsia="tr-TR"/>
        </w:rPr>
      </w:pPr>
      <w:r w:rsidRPr="007512F8">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7512F8">
        <w:rPr>
          <w:rFonts w:ascii="Times New Roman" w:eastAsia="Times New Roman" w:hAnsi="Times New Roman" w:cs="Times New Roman"/>
          <w:vanish/>
          <w:sz w:val="24"/>
          <w:szCs w:val="24"/>
          <w:lang w:eastAsia="tr-TR"/>
        </w:rPr>
        <w:object w:dxaOrig="1440" w:dyaOrig="1440">
          <v:shape id="_x0000_i1035" type="#_x0000_t75" style="width:49.5pt;height:18pt" o:ole="">
            <v:imagedata r:id="rId10" o:title=""/>
          </v:shape>
          <w:control r:id="rId11" w:name="DefaultOcxName3" w:shapeid="_x0000_i1035"/>
        </w:object>
      </w:r>
    </w:p>
    <w:p w:rsidR="00660CC1" w:rsidRDefault="007512F8" w:rsidP="007512F8">
      <w:r w:rsidRPr="007512F8">
        <w:rPr>
          <w:rFonts w:ascii="Times New Roman" w:eastAsia="Times New Roman" w:hAnsi="Times New Roman" w:cs="Times New Roman"/>
          <w:vanish/>
          <w:sz w:val="24"/>
          <w:szCs w:val="24"/>
          <w:lang w:eastAsia="tr-TR"/>
        </w:rPr>
        <w:pict/>
      </w:r>
      <w:bookmarkStart w:id="0" w:name="_GoBack"/>
      <w:bookmarkEnd w:id="0"/>
    </w:p>
    <w:sectPr w:rsidR="00660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81"/>
    <w:rsid w:val="00660CC1"/>
    <w:rsid w:val="007512F8"/>
    <w:rsid w:val="00832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3145">
      <w:bodyDiv w:val="1"/>
      <w:marLeft w:val="0"/>
      <w:marRight w:val="0"/>
      <w:marTop w:val="0"/>
      <w:marBottom w:val="0"/>
      <w:divBdr>
        <w:top w:val="none" w:sz="0" w:space="0" w:color="auto"/>
        <w:left w:val="none" w:sz="0" w:space="0" w:color="auto"/>
        <w:bottom w:val="none" w:sz="0" w:space="0" w:color="auto"/>
        <w:right w:val="none" w:sz="0" w:space="0" w:color="auto"/>
      </w:divBdr>
      <w:divsChild>
        <w:div w:id="62705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1641</Words>
  <Characters>9354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2016-07-21T05:29:00Z</dcterms:created>
  <dcterms:modified xsi:type="dcterms:W3CDTF">2016-07-21T05:29:00Z</dcterms:modified>
</cp:coreProperties>
</file>