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C4A2D" w:rsidRPr="00AC4A2D" w:rsidTr="00AC4A2D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AC4A2D" w:rsidRPr="00AC4A2D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C4A2D" w:rsidRPr="00AC4A2D" w:rsidRDefault="00AC4A2D" w:rsidP="00AC4A2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C4A2D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15 Eylül 2023 CUMA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C4A2D" w:rsidRPr="00AC4A2D" w:rsidRDefault="00AC4A2D" w:rsidP="00AC4A2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C4A2D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C4A2D" w:rsidRPr="00AC4A2D" w:rsidRDefault="00AC4A2D" w:rsidP="00AC4A2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AC4A2D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32310</w:t>
                  </w:r>
                  <w:proofErr w:type="gramEnd"/>
                </w:p>
              </w:tc>
            </w:tr>
            <w:tr w:rsidR="00AC4A2D" w:rsidRPr="00AC4A2D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C4A2D" w:rsidRPr="00AC4A2D" w:rsidRDefault="00AC4A2D" w:rsidP="00AC4A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C4A2D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AC4A2D" w:rsidRPr="00AC4A2D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Ticaret Bakanlığından: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İTHALATTA HAKSIZ REKABETİN ÖNLENMESİNE İLİŞKİN TEBLİĞ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(TEBLİĞ NO: 2023/26)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Amaç ve kapsam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</w:t>
                  </w:r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(1) Bu Tebliğin amacı, 26/3/2022 tarihli ve 31790 sayılı Resmî </w:t>
                  </w:r>
                  <w:proofErr w:type="spellStart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Haksız Rekabetin Önlenmesine İlişkin Tebliğ (Tebliğ No: 2022/10) ile Çin Halk Cumhuriyeti menşeli “bir </w:t>
                  </w:r>
                  <w:proofErr w:type="gramStart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modül</w:t>
                  </w:r>
                  <w:proofErr w:type="gramEnd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 birleştirilmiş veya panolarda düzenlenmiş </w:t>
                  </w:r>
                  <w:proofErr w:type="spellStart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fotovoltaik</w:t>
                  </w:r>
                  <w:proofErr w:type="spellEnd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hücreler” ürünü ithalatına yönelik başlatılan ve Ticaret Bakanlığı İthalat Genel Müdürlüğü tarafından yürütülen nihai gözden geçirme soruşturmasının tamamlanması neticesinde alınan kararın yürürlüğe konulmasıdır.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proofErr w:type="gramStart"/>
                  <w:r w:rsidRPr="00AC4A2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</w:t>
                  </w:r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(1) Bu Tebliğ, 14/6/1989 tarihli ve 3577 sayılı İthalatta Haksız Rekabetin Önlenmesi Hakkında Kanun, 20/10/1999 tarihli ve 99/13482 sayılı Bakanlar Kurulu Kararı ile yürürlüğe konulan İthalatta Haksız Rekabetin Önlenmesi Hakkında Karar ve 30/10/1999 tarihli ve 23861 sayılı Resmî </w:t>
                  </w:r>
                  <w:proofErr w:type="spellStart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Haksız Rekabetin Önlenmesi Hakkında Yönetmeliğe dayanılarak hazırlanmıştır.</w:t>
                  </w:r>
                  <w:proofErr w:type="gramEnd"/>
                </w:p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Tanımlar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</w:t>
                  </w:r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Tebliğde geçen;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ÇHC: Çin Halk Cumhuriyeti’ni,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GTİP: Gümrük tarife istatistik pozisyonunu,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Kurul: İthalatta Haksız Rekabeti Değerlendirme Kurulunu,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ç) TGTC: İstatistik Pozisyonlarına Bölünmüş Türk Gümrük Tarife Cetvelini,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Yönetmelik: İthalatta Haksız Rekabetin Önlenmesi Hakkında Yönetmeliği,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proofErr w:type="gramStart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ifade</w:t>
                  </w:r>
                  <w:proofErr w:type="gramEnd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eder.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Karar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4-</w:t>
                  </w:r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(1) Yürütülen soruşturma sonucunda, ÇHC menşeli ürünlere yönelik önlemin yürürlükten kalkması durumunda </w:t>
                  </w:r>
                  <w:proofErr w:type="gramStart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dampingin</w:t>
                  </w:r>
                  <w:proofErr w:type="gramEnd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zararın devam etmesinin veya yeniden meydana gelmesinin muhtemel olduğu saptanmıştır. Ticaret Bakanlığı İthalat Genel Müdürlüğü tarafından yürütülerek tamamlanan soruşturma sonucunda ulaşılan bilgi ve bulguları içeren Bilgilendirme Raporu </w:t>
                  </w:r>
                  <w:proofErr w:type="spellStart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Ek’te</w:t>
                  </w:r>
                  <w:proofErr w:type="spellEnd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 almaktadır.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Bu çerçevede, soruşturma neticesinde ulaşılan tespitleri değerlendiren Kurulun kararı ile 1/4/2017 tarihli ve 30025 sayılı Resmî </w:t>
                  </w:r>
                  <w:proofErr w:type="spellStart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Haksız Rekabetin Önlenmesine İlişkin Tebliğ (Tebliğ No: 2017/6) ile yürürlükte olan </w:t>
                  </w:r>
                  <w:proofErr w:type="gramStart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dampinge</w:t>
                  </w:r>
                  <w:proofErr w:type="gramEnd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karşı önlemin, Yönetmeliğin 42 </w:t>
                  </w:r>
                  <w:proofErr w:type="spellStart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maddesi çerçevesinde aşağıdaki tabloda gösterilen biçimde uygulanmaya devam edilmesine karar verilmiştir.</w:t>
                  </w:r>
                </w:p>
                <w:p w:rsidR="00AC4A2D" w:rsidRPr="00AC4A2D" w:rsidRDefault="00AC4A2D" w:rsidP="00AC4A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2791ADC" wp14:editId="33308DC0">
                        <wp:extent cx="4429125" cy="3695700"/>
                        <wp:effectExtent l="0" t="0" r="9525" b="0"/>
                        <wp:docPr id="1" name="Resim 1" descr="https://www.resmigazete.gov.tr/eskiler/2023/09/20230915-22_dosyalar/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resmigazete.gov.tr/eskiler/2023/09/20230915-22_dosyalar/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9125" cy="3695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Uygulama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5-</w:t>
                  </w:r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(1) Gümrük idareleri, 4 üncü maddede </w:t>
                  </w:r>
                  <w:proofErr w:type="spellStart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GTİP’i</w:t>
                  </w:r>
                  <w:proofErr w:type="spellEnd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eşya tanımı ve menşe ülkesi belirtilen eşyanın, diğer mevzuat hükümleri saklı kalmak kaydıyla serbest dolaşıma giriş rejimi kapsamındaki ithalatında karşısında gösterilen tutarda </w:t>
                  </w:r>
                  <w:proofErr w:type="gramStart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dampinge</w:t>
                  </w:r>
                  <w:proofErr w:type="gramEnd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karşı kesin önlemi tahsil ederler.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Bilgilendirme Raporunda soruşturma konusu ürün ve benzer ürün ile ilgili açıklamalar genel içerikli olup uygulamaya esas olan </w:t>
                  </w:r>
                  <w:proofErr w:type="spellStart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TGTC’de</w:t>
                  </w:r>
                  <w:proofErr w:type="spellEnd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 alan GTİP ve 4 üncü maddede yer alan tabloda belirtilen eşya tanımıdır.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(3) Önleme tabi ürünün </w:t>
                  </w:r>
                  <w:proofErr w:type="spellStart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TGTC’de</w:t>
                  </w:r>
                  <w:proofErr w:type="spellEnd"/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 alan tarife pozisyonunda ve/veya tanımında yapılacak değişiklikler bu Tebliğ hükümlerinin uygulanmasına engel teşkil etmez.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Yönetmeliğin 35 inci maddesinin birinci fıkrası uyarınca bu Tebliğ kapsamındaki önlem, yürürlük tarihinden itibaren 5 yıl sonra yürürlükten kalkar.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Yönetmeliğin 35 inci maddesi uyarınca bu Tebliğ kapsamındaki önlemin sona erme tarihinden önce bir nihai gözden geçirme soruşturması başlatıldığı takdirde önlem, soruşturma sonuçlanıncaya kadar yürürlükte kalmaya devam eder.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Yürürlük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6-</w:t>
                  </w:r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Tebliğ yayımı tarihinde yürürlüğe girer.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Yürütme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7-</w:t>
                  </w:r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Tebliğ hükümlerini Ticaret Bakanı yürütür.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C4A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AC4A2D" w:rsidRPr="00AC4A2D" w:rsidRDefault="00AC4A2D" w:rsidP="00AC4A2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hyperlink r:id="rId5" w:history="1">
                    <w:r w:rsidRPr="00AC4A2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tr-TR"/>
                      </w:rPr>
                      <w:t>Eki için tıklayınız.</w:t>
                    </w:r>
                  </w:hyperlink>
                </w:p>
                <w:p w:rsidR="00AC4A2D" w:rsidRPr="00AC4A2D" w:rsidRDefault="00AC4A2D" w:rsidP="00AC4A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C4A2D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AC4A2D" w:rsidRPr="00AC4A2D" w:rsidRDefault="00AC4A2D" w:rsidP="00A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C4A2D" w:rsidRPr="00AC4A2D" w:rsidRDefault="00AC4A2D" w:rsidP="00AC4A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C4A2D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072BE7" w:rsidRDefault="00072BE7">
      <w:bookmarkStart w:id="0" w:name="_GoBack"/>
      <w:bookmarkEnd w:id="0"/>
    </w:p>
    <w:sectPr w:rsidR="00072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7A"/>
    <w:rsid w:val="00072BE7"/>
    <w:rsid w:val="00AC4A2D"/>
    <w:rsid w:val="00B6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038342-66EA-467C-8FE0-7EC68AEC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migazete.gov.tr/eskiler/2023/09/20230915-22-1.pd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2</cp:revision>
  <dcterms:created xsi:type="dcterms:W3CDTF">2023-09-15T05:27:00Z</dcterms:created>
  <dcterms:modified xsi:type="dcterms:W3CDTF">2023-09-15T05:27:00Z</dcterms:modified>
</cp:coreProperties>
</file>