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E20C0E" w:rsidRPr="00E20C0E" w:rsidTr="00E20C0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20C0E" w:rsidRPr="00E20C0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20C0E" w:rsidRPr="00E20C0E" w:rsidRDefault="00E20C0E" w:rsidP="00E20C0E">
                  <w:pPr>
                    <w:spacing w:after="0" w:line="240" w:lineRule="atLeast"/>
                    <w:rPr>
                      <w:rFonts w:ascii="Times New Roman" w:eastAsia="Times New Roman" w:hAnsi="Times New Roman" w:cs="Times New Roman"/>
                      <w:sz w:val="24"/>
                      <w:szCs w:val="24"/>
                      <w:lang w:eastAsia="tr-TR"/>
                    </w:rPr>
                  </w:pPr>
                  <w:r w:rsidRPr="00E20C0E">
                    <w:rPr>
                      <w:rFonts w:ascii="Arial" w:eastAsia="Times New Roman" w:hAnsi="Arial" w:cs="Arial"/>
                      <w:sz w:val="16"/>
                      <w:szCs w:val="16"/>
                      <w:lang w:eastAsia="tr-TR"/>
                    </w:rPr>
                    <w:t>3 Temmuz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20C0E" w:rsidRPr="00E20C0E" w:rsidRDefault="00E20C0E" w:rsidP="00E20C0E">
                  <w:pPr>
                    <w:spacing w:after="0" w:line="240" w:lineRule="atLeast"/>
                    <w:jc w:val="center"/>
                    <w:rPr>
                      <w:rFonts w:ascii="Times New Roman" w:eastAsia="Times New Roman" w:hAnsi="Times New Roman" w:cs="Times New Roman"/>
                      <w:sz w:val="24"/>
                      <w:szCs w:val="24"/>
                      <w:lang w:eastAsia="tr-TR"/>
                    </w:rPr>
                  </w:pPr>
                  <w:r w:rsidRPr="00E20C0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20C0E" w:rsidRPr="00E20C0E" w:rsidRDefault="00E20C0E" w:rsidP="00E20C0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20C0E">
                    <w:rPr>
                      <w:rFonts w:ascii="Arial" w:eastAsia="Times New Roman" w:hAnsi="Arial" w:cs="Arial"/>
                      <w:sz w:val="16"/>
                      <w:szCs w:val="16"/>
                      <w:lang w:eastAsia="tr-TR"/>
                    </w:rPr>
                    <w:t>Sayı : 32591</w:t>
                  </w:r>
                  <w:proofErr w:type="gramEnd"/>
                </w:p>
              </w:tc>
            </w:tr>
            <w:tr w:rsidR="00E20C0E" w:rsidRPr="00E20C0E">
              <w:trPr>
                <w:trHeight w:val="480"/>
                <w:jc w:val="center"/>
              </w:trPr>
              <w:tc>
                <w:tcPr>
                  <w:tcW w:w="8789" w:type="dxa"/>
                  <w:gridSpan w:val="3"/>
                  <w:tcMar>
                    <w:top w:w="0" w:type="dxa"/>
                    <w:left w:w="108" w:type="dxa"/>
                    <w:bottom w:w="0" w:type="dxa"/>
                    <w:right w:w="108" w:type="dxa"/>
                  </w:tcMar>
                  <w:vAlign w:val="center"/>
                  <w:hideMark/>
                </w:tcPr>
                <w:p w:rsidR="00E20C0E" w:rsidRPr="00E20C0E" w:rsidRDefault="00E20C0E" w:rsidP="00E20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C0E">
                    <w:rPr>
                      <w:rFonts w:ascii="Arial" w:eastAsia="Times New Roman" w:hAnsi="Arial" w:cs="Arial"/>
                      <w:b/>
                      <w:bCs/>
                      <w:color w:val="000080"/>
                      <w:sz w:val="18"/>
                      <w:szCs w:val="18"/>
                      <w:lang w:eastAsia="tr-TR"/>
                    </w:rPr>
                    <w:t>TEBLİĞ</w:t>
                  </w:r>
                </w:p>
              </w:tc>
            </w:tr>
            <w:tr w:rsidR="00E20C0E" w:rsidRPr="00E20C0E">
              <w:trPr>
                <w:trHeight w:val="480"/>
                <w:jc w:val="center"/>
              </w:trPr>
              <w:tc>
                <w:tcPr>
                  <w:tcW w:w="8789" w:type="dxa"/>
                  <w:gridSpan w:val="3"/>
                  <w:tcMar>
                    <w:top w:w="0" w:type="dxa"/>
                    <w:left w:w="108" w:type="dxa"/>
                    <w:bottom w:w="0" w:type="dxa"/>
                    <w:right w:w="108" w:type="dxa"/>
                  </w:tcMar>
                  <w:vAlign w:val="center"/>
                  <w:hideMark/>
                </w:tcPr>
                <w:p w:rsidR="00E20C0E" w:rsidRPr="00E20C0E" w:rsidRDefault="00E20C0E" w:rsidP="00E20C0E">
                  <w:pPr>
                    <w:spacing w:after="0" w:line="240" w:lineRule="atLeast"/>
                    <w:ind w:firstLine="566"/>
                    <w:jc w:val="both"/>
                    <w:rPr>
                      <w:rFonts w:ascii="Times New Roman" w:eastAsia="Times New Roman" w:hAnsi="Times New Roman" w:cs="Times New Roman"/>
                      <w:u w:val="single"/>
                      <w:lang w:eastAsia="tr-TR"/>
                    </w:rPr>
                  </w:pPr>
                  <w:r w:rsidRPr="00E20C0E">
                    <w:rPr>
                      <w:rFonts w:ascii="Times New Roman" w:eastAsia="Times New Roman" w:hAnsi="Times New Roman" w:cs="Times New Roman"/>
                      <w:sz w:val="18"/>
                      <w:szCs w:val="18"/>
                      <w:u w:val="single"/>
                      <w:lang w:eastAsia="tr-TR"/>
                    </w:rPr>
                    <w:t>Ticaret Bakanlığından:</w:t>
                  </w:r>
                </w:p>
                <w:p w:rsidR="00E20C0E" w:rsidRPr="00E20C0E" w:rsidRDefault="00E20C0E" w:rsidP="00E20C0E">
                  <w:pPr>
                    <w:spacing w:before="56" w:after="0" w:line="240" w:lineRule="atLeast"/>
                    <w:jc w:val="center"/>
                    <w:rPr>
                      <w:rFonts w:ascii="Times New Roman" w:eastAsia="Times New Roman" w:hAnsi="Times New Roman" w:cs="Times New Roman"/>
                      <w:b/>
                      <w:bCs/>
                      <w:sz w:val="19"/>
                      <w:szCs w:val="19"/>
                      <w:lang w:eastAsia="tr-TR"/>
                    </w:rPr>
                  </w:pPr>
                  <w:r w:rsidRPr="00E20C0E">
                    <w:rPr>
                      <w:rFonts w:ascii="Times New Roman" w:eastAsia="Times New Roman" w:hAnsi="Times New Roman" w:cs="Times New Roman"/>
                      <w:b/>
                      <w:bCs/>
                      <w:sz w:val="18"/>
                      <w:szCs w:val="18"/>
                      <w:lang w:eastAsia="tr-TR"/>
                    </w:rPr>
                    <w:t>İTHALATTA KOTA VE TARİFE KONTENJANI İDARESİNE İLİŞKİN TEBLİĞ</w:t>
                  </w:r>
                </w:p>
                <w:p w:rsidR="00E20C0E" w:rsidRPr="00E20C0E" w:rsidRDefault="00E20C0E" w:rsidP="00E20C0E">
                  <w:pPr>
                    <w:spacing w:after="100" w:line="240" w:lineRule="atLeast"/>
                    <w:jc w:val="center"/>
                    <w:rPr>
                      <w:rFonts w:ascii="Times New Roman" w:eastAsia="Times New Roman" w:hAnsi="Times New Roman" w:cs="Times New Roman"/>
                      <w:b/>
                      <w:bCs/>
                      <w:sz w:val="19"/>
                      <w:szCs w:val="19"/>
                      <w:lang w:eastAsia="tr-TR"/>
                    </w:rPr>
                  </w:pPr>
                  <w:r w:rsidRPr="00E20C0E">
                    <w:rPr>
                      <w:rFonts w:ascii="Times New Roman" w:eastAsia="Times New Roman" w:hAnsi="Times New Roman" w:cs="Times New Roman"/>
                      <w:b/>
                      <w:bCs/>
                      <w:sz w:val="18"/>
                      <w:szCs w:val="18"/>
                      <w:lang w:eastAsia="tr-TR"/>
                    </w:rPr>
                    <w:t>(TEBLİĞ NO: 2024/6)</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Amaç ve kapsam</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1- </w:t>
                  </w:r>
                  <w:r w:rsidRPr="00E20C0E">
                    <w:rPr>
                      <w:rFonts w:ascii="Times New Roman" w:eastAsia="Times New Roman" w:hAnsi="Times New Roman" w:cs="Times New Roman"/>
                      <w:sz w:val="18"/>
                      <w:szCs w:val="18"/>
                      <w:lang w:eastAsia="tr-TR"/>
                    </w:rPr>
                    <w:t xml:space="preserve">(1) Bu Tebliğin amacı, Ek-1’de Gümrük Tarife İstatistik Pozisyonu ve tanımı belirtilen eşyanın ithalatında 29/6/2024 tarihli ve 8693 sayılı Cumhurbaşkanı Kararı ile yürürlüğe konulan </w:t>
                  </w:r>
                  <w:proofErr w:type="spellStart"/>
                  <w:r w:rsidRPr="00E20C0E">
                    <w:rPr>
                      <w:rFonts w:ascii="Times New Roman" w:eastAsia="Times New Roman" w:hAnsi="Times New Roman" w:cs="Times New Roman"/>
                      <w:sz w:val="18"/>
                      <w:szCs w:val="18"/>
                      <w:lang w:eastAsia="tr-TR"/>
                    </w:rPr>
                    <w:t>Filmaşin</w:t>
                  </w:r>
                  <w:proofErr w:type="spellEnd"/>
                  <w:r w:rsidRPr="00E20C0E">
                    <w:rPr>
                      <w:rFonts w:ascii="Times New Roman" w:eastAsia="Times New Roman" w:hAnsi="Times New Roman" w:cs="Times New Roman"/>
                      <w:sz w:val="18"/>
                      <w:szCs w:val="18"/>
                      <w:lang w:eastAsia="tr-TR"/>
                    </w:rPr>
                    <w:t xml:space="preserve"> İthalatında Korunma Önlemi Uygulanmasına İlişkin Karar kapsamında, ek mali yükümlülük şeklinde uygulanan korunma önleminden muafiyet sağlanması amacıyla açılan tarife kontenjanının kullanım usul ve esaslarının düzenlenmesidir.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Dayanak</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2- </w:t>
                  </w:r>
                  <w:r w:rsidRPr="00E20C0E">
                    <w:rPr>
                      <w:rFonts w:ascii="Times New Roman" w:eastAsia="Times New Roman" w:hAnsi="Times New Roman" w:cs="Times New Roman"/>
                      <w:sz w:val="18"/>
                      <w:szCs w:val="18"/>
                      <w:lang w:eastAsia="tr-TR"/>
                    </w:rPr>
                    <w:t xml:space="preserve">(1) Bu Tebliğ, 29/6/2024 tarihli ve 8693 sayılı Cumhurbaşkanı Kararı ile yürürlüğe konulan </w:t>
                  </w:r>
                  <w:proofErr w:type="spellStart"/>
                  <w:r w:rsidRPr="00E20C0E">
                    <w:rPr>
                      <w:rFonts w:ascii="Times New Roman" w:eastAsia="Times New Roman" w:hAnsi="Times New Roman" w:cs="Times New Roman"/>
                      <w:sz w:val="18"/>
                      <w:szCs w:val="18"/>
                      <w:lang w:eastAsia="tr-TR"/>
                    </w:rPr>
                    <w:t>Filmaşin</w:t>
                  </w:r>
                  <w:proofErr w:type="spellEnd"/>
                  <w:r w:rsidRPr="00E20C0E">
                    <w:rPr>
                      <w:rFonts w:ascii="Times New Roman" w:eastAsia="Times New Roman" w:hAnsi="Times New Roman" w:cs="Times New Roman"/>
                      <w:sz w:val="18"/>
                      <w:szCs w:val="18"/>
                      <w:lang w:eastAsia="tr-TR"/>
                    </w:rPr>
                    <w:t xml:space="preserve"> İthalatında Korunma Önlemi Uygulanmasına İlişkin Karar ile 14/4/2010 tarihli ve 2010/339 sayılı Bakanlar Kurulu Kararı ile yürürlüğe konulan İthalatta Kota ve Tarife Kontenjanı İdaresi Hakkında Karara dayanılarak hazırlanmıştır.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Tarife kontenjanı</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proofErr w:type="gramStart"/>
                  <w:r w:rsidRPr="00E20C0E">
                    <w:rPr>
                      <w:rFonts w:ascii="Times New Roman" w:eastAsia="Times New Roman" w:hAnsi="Times New Roman" w:cs="Times New Roman"/>
                      <w:b/>
                      <w:bCs/>
                      <w:sz w:val="18"/>
                      <w:szCs w:val="18"/>
                      <w:lang w:eastAsia="tr-TR"/>
                    </w:rPr>
                    <w:t>MADDE 3- </w:t>
                  </w:r>
                  <w:r w:rsidRPr="00E20C0E">
                    <w:rPr>
                      <w:rFonts w:ascii="Times New Roman" w:eastAsia="Times New Roman" w:hAnsi="Times New Roman" w:cs="Times New Roman"/>
                      <w:sz w:val="18"/>
                      <w:szCs w:val="18"/>
                      <w:lang w:eastAsia="tr-TR"/>
                    </w:rPr>
                    <w:t xml:space="preserve">(1) Tarife kontenjanı miktarı, ek mali yükümlülüğün uygulandığı her bir dönemde, </w:t>
                  </w:r>
                  <w:proofErr w:type="spellStart"/>
                  <w:r w:rsidRPr="00E20C0E">
                    <w:rPr>
                      <w:rFonts w:ascii="Times New Roman" w:eastAsia="Times New Roman" w:hAnsi="Times New Roman" w:cs="Times New Roman"/>
                      <w:sz w:val="18"/>
                      <w:szCs w:val="18"/>
                      <w:lang w:eastAsia="tr-TR"/>
                    </w:rPr>
                    <w:t>Filmaşin</w:t>
                  </w:r>
                  <w:proofErr w:type="spellEnd"/>
                  <w:r w:rsidRPr="00E20C0E">
                    <w:rPr>
                      <w:rFonts w:ascii="Times New Roman" w:eastAsia="Times New Roman" w:hAnsi="Times New Roman" w:cs="Times New Roman"/>
                      <w:sz w:val="18"/>
                      <w:szCs w:val="18"/>
                      <w:lang w:eastAsia="tr-TR"/>
                    </w:rPr>
                    <w:t xml:space="preserve"> İthalatında Korunma Önlemi Uygulanmasına İlişkin Kararın ekinde yer alan ülkeler ve gümrük bölgeleri menşeli tarife kontenjanı kapsamı eşyanın tamamı için önlemin birinci döneminde toplam 33.898 ton, ikinci ve üçüncü döneminde her bir dönem için 67.796 ton olarak belirlenmiştir.</w:t>
                  </w:r>
                  <w:proofErr w:type="gramEnd"/>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(2) Her bir ülke veya gümrük bölgesi menşeli eşya için bir dönemde verilecek tarife kontenjanı, önlemin birinci döneminde 11.299 tonu, ikinci ve üçüncü döneminde her bir dönem için 22.599 tonu geçemez.</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Başvuru usul ve esasları</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4- </w:t>
                  </w:r>
                  <w:r w:rsidRPr="00E20C0E">
                    <w:rPr>
                      <w:rFonts w:ascii="Times New Roman" w:eastAsia="Times New Roman" w:hAnsi="Times New Roman" w:cs="Times New Roman"/>
                      <w:sz w:val="18"/>
                      <w:szCs w:val="18"/>
                      <w:lang w:eastAsia="tr-TR"/>
                    </w:rPr>
                    <w:t>(1) Tarife kontenjanı taleplerine ilişkin başvurular, Ticaret Bakanlığı (Bakanlık) internet sitesinde (www.ticaret.gov.tr) yer alan E-İmza Uygulamaları altındaki “E-imza Uygulamalarına Giriş” bölümünde bulunan “İthalat İşlemleri” kısmında elektronik imza ile yapılır.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 xml:space="preserve">(2) Bu Tebliğ kapsamında elektronik imza sahibi kişilerin firmalar adına başvuru yapmak üzere yetkilendirilmesi, 31/12/2023 tarihli ve 32416 üçüncü mükerrer sayılı Resmî </w:t>
                  </w:r>
                  <w:proofErr w:type="spellStart"/>
                  <w:r w:rsidRPr="00E20C0E">
                    <w:rPr>
                      <w:rFonts w:ascii="Times New Roman" w:eastAsia="Times New Roman" w:hAnsi="Times New Roman" w:cs="Times New Roman"/>
                      <w:sz w:val="18"/>
                      <w:szCs w:val="18"/>
                      <w:lang w:eastAsia="tr-TR"/>
                    </w:rPr>
                    <w:t>Gazete’de</w:t>
                  </w:r>
                  <w:proofErr w:type="spellEnd"/>
                  <w:r w:rsidRPr="00E20C0E">
                    <w:rPr>
                      <w:rFonts w:ascii="Times New Roman" w:eastAsia="Times New Roman" w:hAnsi="Times New Roman" w:cs="Times New Roman"/>
                      <w:sz w:val="18"/>
                      <w:szCs w:val="18"/>
                      <w:lang w:eastAsia="tr-TR"/>
                    </w:rPr>
                    <w:t xml:space="preserve"> yayımlanan İthalat İşlemlerinde Elektronik Başvuru İçin Yetkilendirme Tebliği (İthalat: 2024/21) çerçevesinde yapılır.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(3) Bu Tebliğ kapsamında yapılan başvurularda, birinci fıkrada belirtilen “İthalat İşlemleri” sayfasında bulunan “Başvuru İşlemleri” ana başlığı altındaki “Başvuru Girişi” ekranında Belge Türü olarak “TPS-0951-İthal Lisansı (Korunma)”, Tebliğ/Karar olarak bu Tebliğ seçilir. Başvuru formunun elektronik olarak doldurulup Ek-3’te belirtilen belgelerin eksiksiz bir şekilde sisteme yüklenmesinden sonra yetkili kullanıcı tarafından elektronik imza atılması suretiyle başvuru tamamlanır. Bir başvuruda ancak bir ithal lisansı talep edilebilir.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Ek-2’de yer alan başvuru formu kullanılır.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(5) Bu Tebliğ kapsamında yapılan beyanın doğruluğuyla ve ithal mallarla ilgili incelemeleri yapmaya veya yaptırmaya Bakanlık yetkilidir. Başvuruda sunulan bilgi ve belgelerde eksiklik veya tutarsızlık tespit edilmesi halinde ek bilgi ve belge istenebilir ve söz konusu eksiklik veya tutarsızlık başvuru sahibi tarafından giderilinceye kadar talep karşılanmaz. Bu Tebliğ kapsamında yapılan başvurulara ilişkin belgelerin asılları Bakanlık tarafından başvuru sahibinden istenebilir.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Tarife kontenjanının dağıtılması</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5- </w:t>
                  </w:r>
                  <w:r w:rsidRPr="00E20C0E">
                    <w:rPr>
                      <w:rFonts w:ascii="Times New Roman" w:eastAsia="Times New Roman" w:hAnsi="Times New Roman" w:cs="Times New Roman"/>
                      <w:sz w:val="18"/>
                      <w:szCs w:val="18"/>
                      <w:lang w:eastAsia="tr-TR"/>
                    </w:rPr>
                    <w:t>(1) Tarife kontenjanı, İthalatta Kota ve Tarife Kontenjanı İdaresi Hakkında Kararın 4 üncü maddesi çerçevesinde, ilk gelen ilk alır yöntemiyle dağıtılır.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(2) Bir ithal lisansında verilebilecek tarife kontenjanı miktarı 200 tonu geçemez. Bir ithal lisansı sadece bir ülke veya gümrük bölgesi için düzenlenir.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(3) Bir başvuru sahibi adına yeni ithal lisansı düzenlenebilmesi için söz konusu başvuru sahibi adına bu Tebliğ kapsamında en son tahsis edilen ithal lisansının belge tarihi üzerinden en az 30 gün geçmiş olması ve daha önce düzenlenen ithal lisansı kapsamındaki eşyanın tüm ithalat işlemlerinin tamamlanmış olması gerekir.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İthal lisansına ve ithal lisansının kullanımına ait bilgiler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6- </w:t>
                  </w:r>
                  <w:r w:rsidRPr="00E20C0E">
                    <w:rPr>
                      <w:rFonts w:ascii="Times New Roman" w:eastAsia="Times New Roman" w:hAnsi="Times New Roman" w:cs="Times New Roman"/>
                      <w:sz w:val="18"/>
                      <w:szCs w:val="18"/>
                      <w:lang w:eastAsia="tr-TR"/>
                    </w:rPr>
                    <w:t>(1) Tarife kontenjanı kapsamında yapılacak ithalatta Bakanlıkça düzenlenen ithal lisansı gümrük beyannamesinin tescilinde ilgili gümrük idaresince aranır.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(2) Bu Tebliğde belirtilen usul ve esaslar çerçevesinde tarife kontenjanı tahsisatı yapılan başvuru sahibi adına ithal lisansı Bakanlıkça elektronik olarak düzenlenir ve başvuru formunda yer alan e-posta adresine bildirilir. Bildirimde Ticaret Bakanlığınca elektronik ortamda (Tek Pencere Sistemi) verilen 23 haneli belge numarası ile belge tarihi yer alır. Başvuru sahibine ayrıca yazılı bildirim yapılmaz.</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 xml:space="preserve">(3) Bildirimde yer alan belge numarası ve belge tarihi yükümlü tarafından beyannamenin 44 </w:t>
                  </w:r>
                  <w:proofErr w:type="spellStart"/>
                  <w:r w:rsidRPr="00E20C0E">
                    <w:rPr>
                      <w:rFonts w:ascii="Times New Roman" w:eastAsia="Times New Roman" w:hAnsi="Times New Roman" w:cs="Times New Roman"/>
                      <w:sz w:val="18"/>
                      <w:szCs w:val="18"/>
                      <w:lang w:eastAsia="tr-TR"/>
                    </w:rPr>
                    <w:t>nolu</w:t>
                  </w:r>
                  <w:proofErr w:type="spellEnd"/>
                  <w:r w:rsidRPr="00E20C0E">
                    <w:rPr>
                      <w:rFonts w:ascii="Times New Roman" w:eastAsia="Times New Roman" w:hAnsi="Times New Roman" w:cs="Times New Roman"/>
                      <w:sz w:val="18"/>
                      <w:szCs w:val="18"/>
                      <w:lang w:eastAsia="tr-TR"/>
                    </w:rPr>
                    <w:t xml:space="preserve"> kutusunda “Belge Referans No” ve “Belge Tarihi” alanlarında beyan edilir.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(4) Başvuru sahibinin gümrük idaresinde kaydının olmaması nedeniyle, ithal lisansının Tek Pencere Sisteminde kaydının onaylanamaması durumunda, başvuru formunda yer alan e-posta adresine Bakanlıkça bildirimde bulunulur. Yapılan bildirim üzerine ithalatçı tarafından 5 (beş) iş günü içinde gümrük sistemine kayıt yaptırılarak Bakanlığa bilgi verilir. Aksi takdirde, yapılmış olan başvuru geçersiz sayılır.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(5) Tarife kontenjanı konusu eşya ancak ithal lisansının geçerlilik süresi içerisinde serbest dolaşıma girebilir.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(6) İthal lisansı devredilemez.</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Yürürlükten kaldırılan tebliğ</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7- </w:t>
                  </w:r>
                  <w:r w:rsidRPr="00E20C0E">
                    <w:rPr>
                      <w:rFonts w:ascii="Times New Roman" w:eastAsia="Times New Roman" w:hAnsi="Times New Roman" w:cs="Times New Roman"/>
                      <w:sz w:val="18"/>
                      <w:szCs w:val="18"/>
                      <w:lang w:eastAsia="tr-TR"/>
                    </w:rPr>
                    <w:t xml:space="preserve">(1) 19/1/2024 tarihli ve 32434 sayılı Resmî </w:t>
                  </w:r>
                  <w:proofErr w:type="spellStart"/>
                  <w:r w:rsidRPr="00E20C0E">
                    <w:rPr>
                      <w:rFonts w:ascii="Times New Roman" w:eastAsia="Times New Roman" w:hAnsi="Times New Roman" w:cs="Times New Roman"/>
                      <w:sz w:val="18"/>
                      <w:szCs w:val="18"/>
                      <w:lang w:eastAsia="tr-TR"/>
                    </w:rPr>
                    <w:t>Gazete’de</w:t>
                  </w:r>
                  <w:proofErr w:type="spellEnd"/>
                  <w:r w:rsidRPr="00E20C0E">
                    <w:rPr>
                      <w:rFonts w:ascii="Times New Roman" w:eastAsia="Times New Roman" w:hAnsi="Times New Roman" w:cs="Times New Roman"/>
                      <w:sz w:val="18"/>
                      <w:szCs w:val="18"/>
                      <w:lang w:eastAsia="tr-TR"/>
                    </w:rPr>
                    <w:t xml:space="preserve"> yayımlanan İthalatta Kota ve Tarife Kontenjanı İdaresine İlişkin Tebliğ (Tebliğ No: 2024/4) yürürlükten kaldırılmıştır.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Yürürlük</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8- </w:t>
                  </w:r>
                  <w:r w:rsidRPr="00E20C0E">
                    <w:rPr>
                      <w:rFonts w:ascii="Times New Roman" w:eastAsia="Times New Roman" w:hAnsi="Times New Roman" w:cs="Times New Roman"/>
                      <w:sz w:val="18"/>
                      <w:szCs w:val="18"/>
                      <w:lang w:eastAsia="tr-TR"/>
                    </w:rPr>
                    <w:t>(1) Bu Tebliğ 15/6/2024 tarihinden geçerli olmak üzere yayımı tarihinde yürürlüğe girer.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Yürütme</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b/>
                      <w:bCs/>
                      <w:sz w:val="18"/>
                      <w:szCs w:val="18"/>
                      <w:lang w:eastAsia="tr-TR"/>
                    </w:rPr>
                    <w:t>MADDE 9- </w:t>
                  </w:r>
                  <w:r w:rsidRPr="00E20C0E">
                    <w:rPr>
                      <w:rFonts w:ascii="Times New Roman" w:eastAsia="Times New Roman" w:hAnsi="Times New Roman" w:cs="Times New Roman"/>
                      <w:sz w:val="18"/>
                      <w:szCs w:val="18"/>
                      <w:lang w:eastAsia="tr-TR"/>
                    </w:rPr>
                    <w:t>(1) Bu Tebliğ hükümlerini Ticaret Bakanı yürütür.</w:t>
                  </w:r>
                </w:p>
                <w:p w:rsidR="00E20C0E" w:rsidRPr="00E20C0E" w:rsidRDefault="00E20C0E" w:rsidP="00E20C0E">
                  <w:pPr>
                    <w:spacing w:after="0" w:line="240" w:lineRule="atLeast"/>
                    <w:ind w:firstLine="566"/>
                    <w:jc w:val="both"/>
                    <w:rPr>
                      <w:rFonts w:ascii="Times New Roman" w:eastAsia="Times New Roman" w:hAnsi="Times New Roman" w:cs="Times New Roman"/>
                      <w:sz w:val="19"/>
                      <w:szCs w:val="19"/>
                      <w:lang w:eastAsia="tr-TR"/>
                    </w:rPr>
                  </w:pPr>
                  <w:r w:rsidRPr="00E20C0E">
                    <w:rPr>
                      <w:rFonts w:ascii="Times New Roman" w:eastAsia="Times New Roman" w:hAnsi="Times New Roman" w:cs="Times New Roman"/>
                      <w:sz w:val="18"/>
                      <w:szCs w:val="18"/>
                      <w:lang w:eastAsia="tr-TR"/>
                    </w:rPr>
                    <w:t> </w:t>
                  </w:r>
                </w:p>
                <w:p w:rsidR="00E20C0E" w:rsidRPr="00E20C0E" w:rsidRDefault="00E20C0E" w:rsidP="00E20C0E">
                  <w:pPr>
                    <w:spacing w:after="0" w:line="240" w:lineRule="atLeast"/>
                    <w:jc w:val="both"/>
                    <w:rPr>
                      <w:rFonts w:ascii="Times New Roman" w:eastAsia="Times New Roman" w:hAnsi="Times New Roman" w:cs="Times New Roman"/>
                      <w:sz w:val="19"/>
                      <w:szCs w:val="19"/>
                      <w:lang w:eastAsia="tr-TR"/>
                    </w:rPr>
                  </w:pPr>
                  <w:hyperlink r:id="rId4" w:history="1">
                    <w:r w:rsidRPr="00E20C0E">
                      <w:rPr>
                        <w:rFonts w:ascii="Times New Roman" w:eastAsia="Times New Roman" w:hAnsi="Times New Roman" w:cs="Times New Roman"/>
                        <w:b/>
                        <w:bCs/>
                        <w:color w:val="0000FF"/>
                        <w:sz w:val="18"/>
                        <w:szCs w:val="18"/>
                        <w:u w:val="single"/>
                        <w:lang w:eastAsia="tr-TR"/>
                      </w:rPr>
                      <w:t>Ekleri için tıklayınız</w:t>
                    </w:r>
                  </w:hyperlink>
                </w:p>
                <w:p w:rsidR="00E20C0E" w:rsidRPr="00E20C0E" w:rsidRDefault="00E20C0E" w:rsidP="00E20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20C0E">
                    <w:rPr>
                      <w:rFonts w:ascii="Arial" w:eastAsia="Times New Roman" w:hAnsi="Arial" w:cs="Arial"/>
                      <w:b/>
                      <w:bCs/>
                      <w:color w:val="000080"/>
                      <w:sz w:val="18"/>
                      <w:szCs w:val="18"/>
                      <w:lang w:eastAsia="tr-TR"/>
                    </w:rPr>
                    <w:t> </w:t>
                  </w:r>
                </w:p>
              </w:tc>
            </w:tr>
          </w:tbl>
          <w:p w:rsidR="00E20C0E" w:rsidRPr="00E20C0E" w:rsidRDefault="00E20C0E" w:rsidP="00E20C0E">
            <w:pPr>
              <w:spacing w:after="0" w:line="240" w:lineRule="auto"/>
              <w:rPr>
                <w:rFonts w:ascii="Times New Roman" w:eastAsia="Times New Roman" w:hAnsi="Times New Roman" w:cs="Times New Roman"/>
                <w:sz w:val="24"/>
                <w:szCs w:val="24"/>
                <w:lang w:eastAsia="tr-TR"/>
              </w:rPr>
            </w:pPr>
          </w:p>
        </w:tc>
        <w:bookmarkStart w:id="0" w:name="_GoBack"/>
        <w:bookmarkEnd w:id="0"/>
      </w:tr>
    </w:tbl>
    <w:p w:rsidR="00E20C0E" w:rsidRPr="00E20C0E" w:rsidRDefault="00E20C0E" w:rsidP="00E20C0E">
      <w:pPr>
        <w:spacing w:after="0" w:line="240" w:lineRule="auto"/>
        <w:jc w:val="center"/>
        <w:rPr>
          <w:rFonts w:ascii="Times New Roman" w:eastAsia="Times New Roman" w:hAnsi="Times New Roman" w:cs="Times New Roman"/>
          <w:color w:val="000000"/>
          <w:sz w:val="27"/>
          <w:szCs w:val="27"/>
          <w:lang w:eastAsia="tr-TR"/>
        </w:rPr>
      </w:pPr>
      <w:r w:rsidRPr="00E20C0E">
        <w:rPr>
          <w:rFonts w:ascii="Times New Roman" w:eastAsia="Times New Roman" w:hAnsi="Times New Roman" w:cs="Times New Roman"/>
          <w:color w:val="000000"/>
          <w:sz w:val="27"/>
          <w:szCs w:val="27"/>
          <w:lang w:eastAsia="tr-TR"/>
        </w:rPr>
        <w:t> </w:t>
      </w:r>
    </w:p>
    <w:p w:rsidR="002202DA" w:rsidRDefault="002202DA"/>
    <w:sectPr w:rsidR="00220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2B"/>
    <w:rsid w:val="002202DA"/>
    <w:rsid w:val="00423A2B"/>
    <w:rsid w:val="008478F0"/>
    <w:rsid w:val="00E20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DB7D1-2BDA-4B45-8F43-C73A590F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07/20240703-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2024-07-03T06:02:00Z</dcterms:created>
  <dcterms:modified xsi:type="dcterms:W3CDTF">2024-07-03T06:02:00Z</dcterms:modified>
</cp:coreProperties>
</file>